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17911">
      <w:pPr>
        <w:pStyle w:val="5"/>
        <w:jc w:val="center"/>
        <w:outlineLvl w:val="1"/>
        <w:rPr>
          <w:rFonts w:hint="eastAsia" w:eastAsiaTheme="minorEastAsia"/>
          <w:lang w:val="en-US" w:eastAsia="zh-CN"/>
        </w:rPr>
      </w:pPr>
      <w:r>
        <w:rPr>
          <w:rFonts w:hint="eastAsia"/>
          <w:b/>
          <w:sz w:val="36"/>
          <w:lang w:eastAsia="zh-CN"/>
        </w:rPr>
        <w:t>惠州市实验中学食堂改造消防修缮工程</w:t>
      </w:r>
      <w:r>
        <w:rPr>
          <w:b/>
          <w:sz w:val="36"/>
        </w:rPr>
        <w:t>采购需求</w:t>
      </w:r>
      <w:r>
        <w:rPr>
          <w:rFonts w:hint="eastAsia"/>
          <w:b/>
          <w:sz w:val="36"/>
          <w:lang w:val="en-US" w:eastAsia="zh-CN"/>
        </w:rPr>
        <w:t>书</w:t>
      </w:r>
    </w:p>
    <w:p w14:paraId="70C3CC22">
      <w:pPr>
        <w:pStyle w:val="5"/>
        <w:outlineLvl w:val="2"/>
      </w:pPr>
      <w:r>
        <w:rPr>
          <w:b/>
          <w:sz w:val="28"/>
        </w:rPr>
        <w:t>一、项目概况：</w:t>
      </w:r>
    </w:p>
    <w:p w14:paraId="14433378">
      <w:pPr>
        <w:pStyle w:val="5"/>
        <w:rPr>
          <w:rFonts w:hint="eastAsia" w:ascii="宋体" w:hAnsi="宋体" w:eastAsia="宋体" w:cs="宋体"/>
          <w:color w:val="auto"/>
          <w:lang w:val="en-US" w:eastAsia="zh-CN"/>
        </w:rPr>
      </w:pPr>
      <w:r>
        <w:rPr>
          <w:rFonts w:hint="eastAsia" w:ascii="宋体" w:hAnsi="宋体" w:eastAsia="宋体" w:cs="宋体"/>
          <w:color w:val="auto"/>
        </w:rPr>
        <w:t>本次装修</w:t>
      </w:r>
      <w:r>
        <w:rPr>
          <w:rFonts w:hint="eastAsia" w:ascii="宋体" w:hAnsi="宋体" w:eastAsia="宋体" w:cs="宋体"/>
          <w:color w:val="auto"/>
          <w:lang w:val="en-US" w:eastAsia="zh-CN"/>
        </w:rPr>
        <w:t>区域为学生食堂一至三层，包括惠州市实验中学本部食堂改造消防修缮工程-室内消防工程、室外消防工程、钢梯工程。</w:t>
      </w:r>
    </w:p>
    <w:p w14:paraId="5C89D1C6">
      <w:pPr>
        <w:pStyle w:val="5"/>
        <w:rPr>
          <w:rFonts w:hint="eastAsia" w:ascii="宋体" w:hAnsi="宋体" w:eastAsia="宋体" w:cs="宋体"/>
          <w:color w:val="auto"/>
          <w:lang w:val="en-US" w:eastAsia="zh-CN"/>
        </w:rPr>
      </w:pPr>
      <w:r>
        <w:rPr>
          <w:rFonts w:hint="eastAsia" w:ascii="宋体" w:hAnsi="宋体" w:eastAsia="宋体" w:cs="宋体"/>
          <w:b/>
          <w:bCs/>
          <w:color w:val="auto"/>
          <w:lang w:val="en-US" w:eastAsia="zh-CN"/>
        </w:rPr>
        <w:t>室内消防工程包括：</w:t>
      </w:r>
      <w:r>
        <w:rPr>
          <w:rFonts w:hint="eastAsia" w:ascii="宋体" w:hAnsi="宋体" w:eastAsia="宋体" w:cs="宋体"/>
          <w:color w:val="auto"/>
          <w:lang w:val="en-US" w:eastAsia="zh-CN"/>
        </w:rPr>
        <w:t>消防水工程、消火栓灭火系统、自动喷淋灭火系统、消防废水工程、应急照明工程、消防电工程、自动报警系统、电气火灾监控系统、消防电源监控系统、防火门监控系统、防排烟工程。</w:t>
      </w:r>
    </w:p>
    <w:p w14:paraId="48DD0723">
      <w:pPr>
        <w:pStyle w:val="5"/>
        <w:rPr>
          <w:rFonts w:hint="eastAsia" w:ascii="宋体" w:hAnsi="宋体" w:eastAsia="宋体" w:cs="宋体"/>
          <w:color w:val="auto"/>
          <w:lang w:val="en-US" w:eastAsia="zh-CN"/>
        </w:rPr>
      </w:pPr>
      <w:r>
        <w:rPr>
          <w:rFonts w:hint="eastAsia" w:ascii="宋体" w:hAnsi="宋体" w:eastAsia="宋体" w:cs="宋体"/>
          <w:b/>
          <w:bCs/>
          <w:color w:val="auto"/>
          <w:lang w:val="en-US" w:eastAsia="zh-CN"/>
        </w:rPr>
        <w:t>室外消防工程包括：</w:t>
      </w:r>
      <w:r>
        <w:rPr>
          <w:rFonts w:hint="eastAsia" w:ascii="宋体" w:hAnsi="宋体" w:eastAsia="宋体" w:cs="宋体"/>
          <w:color w:val="auto"/>
          <w:lang w:val="en-US" w:eastAsia="zh-CN"/>
        </w:rPr>
        <w:t>室外消防水工程、消防水箱部分、消防水部分、室外消防电工程、自动报警系统、消防控制室、电气火灾监控系统、消防电源监控系统、防火门监控系统、消控室应急照明；</w:t>
      </w:r>
    </w:p>
    <w:p w14:paraId="3DB38DAA">
      <w:pPr>
        <w:pStyle w:val="5"/>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钢梯工程包括：</w:t>
      </w:r>
      <w:r>
        <w:rPr>
          <w:rFonts w:hint="eastAsia" w:ascii="宋体" w:hAnsi="宋体" w:eastAsia="宋体" w:cs="宋体"/>
          <w:color w:val="auto"/>
          <w:lang w:val="en-US" w:eastAsia="zh-CN"/>
        </w:rPr>
        <w:t>土石方工程、桩基工程、砌筑工程、混凝土及钢筋混凝土工程、金属结构工程、墙、柱面装饰与隔断、幕墙工程、油漆、涂料、裱糊工程、其他装饰工程（不锈钢栏杆）。</w:t>
      </w:r>
    </w:p>
    <w:p w14:paraId="780F9F1F">
      <w:pPr>
        <w:pStyle w:val="5"/>
        <w:rPr>
          <w:rFonts w:hint="eastAsia" w:ascii="宋体" w:hAnsi="宋体" w:eastAsia="宋体" w:cs="宋体"/>
          <w:color w:val="auto"/>
          <w:lang w:val="en-US" w:eastAsia="zh-CN"/>
        </w:rPr>
      </w:pPr>
      <w:r>
        <w:rPr>
          <w:rFonts w:hint="eastAsia"/>
        </w:rPr>
        <w:t>总建筑面积约4761.25平方米，建筑耐火等级为二级</w:t>
      </w:r>
      <w:r>
        <w:rPr>
          <w:rFonts w:hint="eastAsia"/>
          <w:lang w:eastAsia="zh-CN"/>
        </w:rPr>
        <w:t>。</w:t>
      </w:r>
      <w:r>
        <w:rPr>
          <w:rFonts w:hint="eastAsia" w:ascii="宋体" w:hAnsi="宋体" w:eastAsia="宋体" w:cs="宋体"/>
          <w:color w:val="auto"/>
          <w:lang w:val="en-US" w:eastAsia="zh-CN"/>
        </w:rPr>
        <w:t>主要内容详见施工图纸及工程量清单。</w:t>
      </w:r>
    </w:p>
    <w:p w14:paraId="15BEBAF1">
      <w:pPr>
        <w:pStyle w:val="5"/>
      </w:pPr>
      <w:r>
        <w:t>采购包1</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2AB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A8FB85">
            <w:pPr>
              <w:pStyle w:val="5"/>
            </w:pPr>
            <w:r>
              <w:t>标的提供的时间</w:t>
            </w:r>
          </w:p>
        </w:tc>
        <w:tc>
          <w:tcPr>
            <w:tcW w:w="4153" w:type="dxa"/>
          </w:tcPr>
          <w:p w14:paraId="77E3CDA7">
            <w:pPr>
              <w:pStyle w:val="5"/>
            </w:pPr>
            <w:r>
              <w:t>自合同签订后开工令发出之日起90日历天内完成。</w:t>
            </w:r>
          </w:p>
        </w:tc>
      </w:tr>
      <w:tr w14:paraId="02EC0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FB9431">
            <w:pPr>
              <w:pStyle w:val="5"/>
            </w:pPr>
            <w:r>
              <w:t>标的提供的地点</w:t>
            </w:r>
          </w:p>
        </w:tc>
        <w:tc>
          <w:tcPr>
            <w:tcW w:w="4153" w:type="dxa"/>
          </w:tcPr>
          <w:p w14:paraId="667096B3">
            <w:pPr>
              <w:pStyle w:val="5"/>
              <w:rPr>
                <w:rFonts w:hint="default"/>
                <w:lang w:val="en-US" w:eastAsia="zh-CN"/>
              </w:rPr>
            </w:pPr>
            <w:r>
              <w:rPr>
                <w:rFonts w:hint="eastAsia"/>
                <w:lang w:val="en-US" w:eastAsia="zh-CN"/>
              </w:rPr>
              <w:t>惠州市实验中学</w:t>
            </w:r>
          </w:p>
        </w:tc>
      </w:tr>
      <w:tr w14:paraId="4ED89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206EB8">
            <w:pPr>
              <w:pStyle w:val="5"/>
            </w:pPr>
            <w:r>
              <w:t>付款方式</w:t>
            </w:r>
          </w:p>
        </w:tc>
        <w:tc>
          <w:tcPr>
            <w:tcW w:w="4153" w:type="dxa"/>
          </w:tcPr>
          <w:p w14:paraId="20998720">
            <w:pPr>
              <w:pStyle w:val="5"/>
            </w:pPr>
            <w:r>
              <w:t xml:space="preserve">1期：支付比例100%,建设项目按合同金额30%支付备料款；工程进度款按完成的工程量拨付，竣工验收后可支付到合同金额的90%，经财政审核后支付到结算造价的97%；剩余3%作为预留的工程质量保证金，待工程缺陷责任期满后凭建设部门的验收证明再清算拨付。 </w:t>
            </w:r>
          </w:p>
          <w:p w14:paraId="42B0DCC7">
            <w:pPr>
              <w:pStyle w:val="5"/>
              <w:rPr>
                <w:rFonts w:hint="eastAsia" w:eastAsiaTheme="minorEastAsia"/>
                <w:lang w:val="en-US" w:eastAsia="zh-CN"/>
              </w:rPr>
            </w:pPr>
            <w:r>
              <w:t>付款方式：采用支票、银行汇付（含电汇）等形式。 款项支付时，成交供应商同时向采购人提供相应金额的正式发票</w:t>
            </w:r>
            <w:r>
              <w:rPr>
                <w:rFonts w:hint="eastAsia"/>
                <w:lang w:val="en-US" w:eastAsia="zh-CN"/>
              </w:rPr>
              <w:t>.</w:t>
            </w:r>
          </w:p>
          <w:p w14:paraId="61FDD85A">
            <w:pPr>
              <w:pStyle w:val="5"/>
            </w:pPr>
            <w:r>
              <w:t>如项目发生合同融资，采购人需将合同款项支付到合同约定收款账户</w:t>
            </w:r>
            <w:r>
              <w:rPr>
                <w:rFonts w:hint="eastAsia"/>
                <w:lang w:eastAsia="zh-CN"/>
              </w:rPr>
              <w:t>。</w:t>
            </w:r>
          </w:p>
        </w:tc>
      </w:tr>
      <w:tr w14:paraId="08CE5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80F55B">
            <w:pPr>
              <w:pStyle w:val="5"/>
            </w:pPr>
            <w:r>
              <w:t>验收要求</w:t>
            </w:r>
          </w:p>
        </w:tc>
        <w:tc>
          <w:tcPr>
            <w:tcW w:w="4153" w:type="dxa"/>
          </w:tcPr>
          <w:p w14:paraId="3D952625">
            <w:pPr>
              <w:pStyle w:val="5"/>
            </w:pPr>
            <w:r>
              <w:t>1期：</w:t>
            </w:r>
          </w:p>
          <w:p w14:paraId="616C52F5">
            <w:pPr>
              <w:pStyle w:val="5"/>
              <w:numPr>
                <w:ilvl w:val="0"/>
                <w:numId w:val="1"/>
              </w:numPr>
            </w:pPr>
            <w:r>
              <w:t>工程具备竣工验收条件，承包人按国家工程竣工验收有关规定，向发包人提供完整竣工资料一式</w:t>
            </w:r>
            <w:r>
              <w:rPr>
                <w:rFonts w:hint="eastAsia"/>
                <w:lang w:val="en-US" w:eastAsia="zh-CN"/>
              </w:rPr>
              <w:t>三</w:t>
            </w:r>
            <w:r>
              <w:t xml:space="preserve">份（包含竣工图及竣工图扫描件）及竣工验收报告。 </w:t>
            </w:r>
          </w:p>
          <w:p w14:paraId="5811B819">
            <w:pPr>
              <w:pStyle w:val="5"/>
              <w:numPr>
                <w:ilvl w:val="0"/>
                <w:numId w:val="1"/>
              </w:numPr>
              <w:ind w:left="0" w:leftChars="0" w:firstLine="0" w:firstLineChars="0"/>
            </w:pPr>
            <w:r>
              <w:t>发包人收到竣工验收报告并审核竣工文件后，如认为承包人竣工文件不能符合竣工要求，应书面通知承包人整改，承包人按要求整改后重新提出竣工验收报告；发包人收到竣工验收报告且具备竣工验收条件后</w:t>
            </w:r>
            <w:r>
              <w:rPr>
                <w:rFonts w:hint="eastAsia"/>
                <w:lang w:val="en-US" w:eastAsia="zh-CN"/>
              </w:rPr>
              <w:t>5</w:t>
            </w:r>
            <w:r>
              <w:t>个工作日内按照有关规定组织有关部门参加竣工验收。逾期未组织竣工验收，视为工程通过竣工验收。 （3）发包人应在验收后</w:t>
            </w:r>
            <w:r>
              <w:rPr>
                <w:rFonts w:hint="eastAsia"/>
                <w:lang w:val="en-US" w:eastAsia="zh-CN"/>
              </w:rPr>
              <w:t>7</w:t>
            </w:r>
            <w:r>
              <w:t xml:space="preserve">天内给予认可或提出修改意见。承包人按要求修改，并承担由自身原因造成修改的费用。 </w:t>
            </w:r>
          </w:p>
          <w:p w14:paraId="245C576E">
            <w:pPr>
              <w:pStyle w:val="5"/>
              <w:numPr>
                <w:ilvl w:val="0"/>
                <w:numId w:val="0"/>
              </w:numPr>
              <w:ind w:leftChars="0"/>
            </w:pPr>
            <w:r>
              <w:rPr>
                <w:rFonts w:hint="eastAsia"/>
                <w:lang w:eastAsia="zh-CN"/>
              </w:rPr>
              <w:t>（</w:t>
            </w:r>
            <w:r>
              <w:rPr>
                <w:rFonts w:hint="eastAsia"/>
                <w:lang w:val="en-US" w:eastAsia="zh-CN"/>
              </w:rPr>
              <w:t>4</w:t>
            </w:r>
            <w:r>
              <w:rPr>
                <w:rFonts w:hint="eastAsia"/>
                <w:lang w:eastAsia="zh-CN"/>
              </w:rPr>
              <w:t>）</w:t>
            </w:r>
            <w:r>
              <w:t>发包人收到承包人送交的竣工验收报告后</w:t>
            </w:r>
            <w:r>
              <w:rPr>
                <w:rFonts w:hint="eastAsia"/>
                <w:lang w:val="en-US" w:eastAsia="zh-CN"/>
              </w:rPr>
              <w:t>7</w:t>
            </w:r>
            <w:r>
              <w:t>天内无故不组织验收，或验收后</w:t>
            </w:r>
            <w:r>
              <w:rPr>
                <w:rFonts w:hint="eastAsia"/>
                <w:lang w:val="en-US" w:eastAsia="zh-CN"/>
              </w:rPr>
              <w:t>5</w:t>
            </w:r>
            <w:r>
              <w:t>天内不提出修改意见，视为竣工验收报告已被认可。</w:t>
            </w:r>
          </w:p>
          <w:p w14:paraId="440327F2">
            <w:pPr>
              <w:pStyle w:val="5"/>
              <w:numPr>
                <w:ilvl w:val="0"/>
                <w:numId w:val="0"/>
              </w:numPr>
              <w:ind w:leftChars="0"/>
            </w:pPr>
            <w:r>
              <w:t>（5）工程竣工验收通过，承包人送交竣工验收报告的日期为实际竣工日期。工程按发包人要求修改后通过竣工验收的，实际竣工日期为承包人修改后提请发包人验收的日期。</w:t>
            </w:r>
          </w:p>
          <w:p w14:paraId="5A24FE3F">
            <w:pPr>
              <w:pStyle w:val="5"/>
              <w:numPr>
                <w:ilvl w:val="0"/>
                <w:numId w:val="0"/>
              </w:numPr>
              <w:ind w:leftChars="0"/>
            </w:pPr>
            <w:r>
              <w:t>（6）发包人收到承包人竣工验收报告后</w:t>
            </w:r>
            <w:r>
              <w:rPr>
                <w:rFonts w:hint="eastAsia"/>
                <w:lang w:val="en-US" w:eastAsia="zh-CN"/>
              </w:rPr>
              <w:t>7</w:t>
            </w:r>
            <w:r>
              <w:t>天内不组织验收，从第</w:t>
            </w:r>
            <w:r>
              <w:rPr>
                <w:rFonts w:hint="eastAsia"/>
                <w:lang w:val="en-US" w:eastAsia="zh-CN"/>
              </w:rPr>
              <w:t>8</w:t>
            </w:r>
            <w:r>
              <w:t>天起承担工程保管及一切意外责任。</w:t>
            </w:r>
          </w:p>
          <w:p w14:paraId="137A1FA2">
            <w:pPr>
              <w:pStyle w:val="5"/>
              <w:numPr>
                <w:ilvl w:val="0"/>
                <w:numId w:val="0"/>
              </w:numPr>
              <w:ind w:leftChars="0"/>
            </w:pPr>
            <w:r>
              <w:t xml:space="preserve">（7）因特殊原因，发包人要求部分单位工程或工程部位甩项竣工的，双方另行签订甩项竣工协议，明确双方责任和工程价款的支付方法。 </w:t>
            </w:r>
          </w:p>
          <w:p w14:paraId="1905229C">
            <w:pPr>
              <w:pStyle w:val="5"/>
              <w:numPr>
                <w:ilvl w:val="0"/>
                <w:numId w:val="0"/>
              </w:numPr>
              <w:ind w:leftChars="0"/>
            </w:pPr>
            <w:r>
              <w:t>（8）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tc>
      </w:tr>
      <w:tr w14:paraId="75884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F560BD">
            <w:pPr>
              <w:pStyle w:val="5"/>
            </w:pPr>
            <w:r>
              <w:t>履约保证金</w:t>
            </w:r>
          </w:p>
        </w:tc>
        <w:tc>
          <w:tcPr>
            <w:tcW w:w="4153" w:type="dxa"/>
          </w:tcPr>
          <w:p w14:paraId="2230D9E7">
            <w:pPr>
              <w:pStyle w:val="5"/>
            </w:pPr>
            <w:r>
              <w:t>不收取</w:t>
            </w:r>
          </w:p>
        </w:tc>
      </w:tr>
      <w:tr w14:paraId="2841A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6738C9">
            <w:pPr>
              <w:pStyle w:val="5"/>
            </w:pPr>
            <w:r>
              <w:t>其他</w:t>
            </w:r>
          </w:p>
        </w:tc>
        <w:tc>
          <w:tcPr>
            <w:tcW w:w="4153" w:type="dxa"/>
          </w:tcPr>
          <w:p w14:paraId="04178B63">
            <w:pPr>
              <w:pStyle w:val="5"/>
            </w:pPr>
          </w:p>
        </w:tc>
      </w:tr>
    </w:tbl>
    <w:p w14:paraId="57C876D3">
      <w:pPr>
        <w:pStyle w:val="5"/>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2B6E1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0ABD7C13">
            <w:pPr>
              <w:pStyle w:val="5"/>
              <w:jc w:val="center"/>
            </w:pPr>
            <w:r>
              <w:t>参数性质</w:t>
            </w:r>
          </w:p>
        </w:tc>
        <w:tc>
          <w:tcPr>
            <w:tcW w:w="2076" w:type="dxa"/>
            <w:gridSpan w:val="2"/>
          </w:tcPr>
          <w:p w14:paraId="756953A8">
            <w:pPr>
              <w:pStyle w:val="5"/>
              <w:jc w:val="center"/>
            </w:pPr>
            <w:r>
              <w:t>编号</w:t>
            </w:r>
          </w:p>
        </w:tc>
        <w:tc>
          <w:tcPr>
            <w:tcW w:w="2076" w:type="dxa"/>
          </w:tcPr>
          <w:p w14:paraId="7C52154F">
            <w:pPr>
              <w:pStyle w:val="5"/>
              <w:jc w:val="center"/>
            </w:pPr>
            <w:r>
              <w:t>内容明细</w:t>
            </w:r>
          </w:p>
        </w:tc>
        <w:tc>
          <w:tcPr>
            <w:tcW w:w="2076" w:type="dxa"/>
          </w:tcPr>
          <w:p w14:paraId="5FCFB65C">
            <w:pPr>
              <w:pStyle w:val="5"/>
              <w:jc w:val="center"/>
            </w:pPr>
            <w:r>
              <w:t>内容说明</w:t>
            </w:r>
          </w:p>
        </w:tc>
      </w:tr>
      <w:tr w14:paraId="04B39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10BC6D6A"/>
        </w:tc>
        <w:tc>
          <w:tcPr>
            <w:tcW w:w="2076" w:type="dxa"/>
            <w:gridSpan w:val="2"/>
          </w:tcPr>
          <w:p w14:paraId="6D80DAA5">
            <w:pPr>
              <w:pStyle w:val="5"/>
              <w:jc w:val="center"/>
            </w:pPr>
            <w:r>
              <w:t>1</w:t>
            </w:r>
          </w:p>
        </w:tc>
        <w:tc>
          <w:tcPr>
            <w:tcW w:w="2076" w:type="dxa"/>
          </w:tcPr>
          <w:p w14:paraId="36DC4784">
            <w:pPr>
              <w:pStyle w:val="5"/>
              <w:jc w:val="left"/>
            </w:pPr>
            <w:r>
              <w:t>其他商务要求</w:t>
            </w:r>
          </w:p>
        </w:tc>
        <w:tc>
          <w:tcPr>
            <w:tcW w:w="2076" w:type="dxa"/>
          </w:tcPr>
          <w:p w14:paraId="14DA3B36">
            <w:pPr>
              <w:pStyle w:val="5"/>
              <w:jc w:val="left"/>
            </w:pPr>
            <w:r>
              <w:t>（1）工程质量标准和保修期： 1）严格按发包人提供的施工图、工程量清单进行施工，按照设计文件和有关技术标准、规范和合同规定施工，验收标准按《建筑工程施工质量验收统一标准》（GB50300-2013）等国家、广东省有关规范合格标准执行，必须达到新竣工备案制的合格标准。 2）本工程质量满足设计图纸要求，并且应符合最新的工程验收标准，并确保一次性通过</w:t>
            </w:r>
            <w:r>
              <w:rPr>
                <w:rFonts w:hint="eastAsia"/>
                <w:lang w:val="en-US" w:eastAsia="zh-CN"/>
              </w:rPr>
              <w:t>惠州市</w:t>
            </w:r>
            <w:r>
              <w:t xml:space="preserve">相关部门或单位验收。因承包人原因，质量若不能一次达到承诺标准的，承包人应自费修补缺陷，使其达到双方约定的质量标准，工期不予顺延。修补后仍达不到承诺标准，不能按时移交的，发包人可另行委托其他人完成工程修补工作，另行委托所需要的费用以及发包人由此而增加的管理人员开支全部由承包人承担。 3）质量保修范围:成交方在质量保修期内，按照有关法律规定和合同约定，承担工程质量保修责任。质量保修期自工程竣工验收合格之日起计算。 4）缺陷责任期：自竣工验收合格之日起满1年。 （2）工程竣工资料的要求： 1）承包方的工程档案资料必须符合有关规范要求，在工程施工过程中应及时收集、汇总、整理工程档案。 2）承包方应在工程竣工验收前按有关规定提供工程资料，承包方应在工程竣工验收通过后协助发包方完成工程备案手续。   </w:t>
            </w:r>
            <w:r>
              <w:rPr>
                <w:rFonts w:hint="eastAsia"/>
                <w:lang w:val="en-US" w:eastAsia="zh-CN"/>
              </w:rPr>
              <w:t>3</w:t>
            </w:r>
            <w:r>
              <w:t>）施工场地清洁卫生和做好交工前施工场地清理工作的约定：保证施工场地清洁有序，符合环境卫生有关规定，承包人承担保洁费用和因自身原因违反有关规定造成的损失和罚款；工程竣工验收后10天内，承包人应对施工场地进行清理，施工场地的清理应达到发包人及监理单位要求，清理费用由承包人承担。 （4）工程结算： 1）竣工结算申请:承包人提交竣工结算申请单的期限：在工程项目竣工验收符合合同要求后</w:t>
            </w:r>
            <w:r>
              <w:rPr>
                <w:rFonts w:hint="eastAsia"/>
                <w:lang w:val="en-US" w:eastAsia="zh-CN"/>
              </w:rPr>
              <w:t>15</w:t>
            </w:r>
            <w:r>
              <w:t>个日历天内。 竣工结算申请单应包括的内容：按发包人和财政部门审核结算的要求提供。 2）竣工结算审核:发包人审批竣工付款申请单的期限：监理单位和发包人在</w:t>
            </w:r>
            <w:r>
              <w:rPr>
                <w:rFonts w:hint="eastAsia"/>
                <w:lang w:val="en-US" w:eastAsia="zh-CN"/>
              </w:rPr>
              <w:t>7</w:t>
            </w:r>
            <w:r>
              <w:t>个日历天内初步审核后向财政部门报送项目竣工结算，财政部门在收到发包人报送的初审结算后应于</w:t>
            </w:r>
            <w:r>
              <w:rPr>
                <w:rFonts w:hint="eastAsia"/>
                <w:lang w:val="en-US" w:eastAsia="zh-CN"/>
              </w:rPr>
              <w:t>15</w:t>
            </w:r>
            <w:r>
              <w:t>个日历天内审核完毕并出具审核报告。超过期限报送的结算资料不构成结算依据（因发包人、监理单位、财政部门等单位要求限期补充资料的情况除外）；竣工结算报告和完整的竣工结算资料（一式</w:t>
            </w:r>
            <w:r>
              <w:rPr>
                <w:rFonts w:hint="eastAsia"/>
                <w:lang w:val="en-US" w:eastAsia="zh-CN"/>
              </w:rPr>
              <w:t>三</w:t>
            </w:r>
            <w:r>
              <w:t>份）一并报发包人后，发包人方接受承包人的工程竣工结算价款支付申请。超过约定期限未能报送完备的结算资料，视为承包人放弃本工程余下未付的资金拨付要求，发包人不再执行相关资金的拨付。发包人完成竣工付款的期限：承包人的工程竣工结算价款支付申请经监理、发包人批准后</w:t>
            </w:r>
            <w:r>
              <w:rPr>
                <w:rFonts w:hint="eastAsia"/>
                <w:lang w:val="en-US" w:eastAsia="zh-CN"/>
              </w:rPr>
              <w:t>7</w:t>
            </w:r>
            <w:r>
              <w:t xml:space="preserve">个日历天内。 </w:t>
            </w:r>
          </w:p>
        </w:tc>
      </w:tr>
      <w:tr w14:paraId="79279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64FDE3B2">
            <w:pPr>
              <w:pStyle w:val="5"/>
            </w:pPr>
            <w:r>
              <w:t>说明</w:t>
            </w:r>
          </w:p>
        </w:tc>
        <w:tc>
          <w:tcPr>
            <w:tcW w:w="5538" w:type="dxa"/>
            <w:gridSpan w:val="4"/>
          </w:tcPr>
          <w:p w14:paraId="037739DE">
            <w:pPr>
              <w:pStyle w:val="5"/>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5A68CA8B">
      <w:pPr>
        <w:pStyle w:val="5"/>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3"/>
        <w:gridCol w:w="933"/>
        <w:gridCol w:w="933"/>
        <w:gridCol w:w="933"/>
        <w:gridCol w:w="933"/>
        <w:gridCol w:w="933"/>
        <w:gridCol w:w="933"/>
        <w:gridCol w:w="840"/>
        <w:gridCol w:w="933"/>
      </w:tblGrid>
      <w:tr w14:paraId="2F672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380DFE87">
            <w:pPr>
              <w:pStyle w:val="5"/>
              <w:jc w:val="center"/>
            </w:pPr>
            <w:r>
              <w:t>序号</w:t>
            </w:r>
          </w:p>
        </w:tc>
        <w:tc>
          <w:tcPr>
            <w:tcW w:w="933" w:type="dxa"/>
          </w:tcPr>
          <w:p w14:paraId="00E09F87">
            <w:pPr>
              <w:pStyle w:val="5"/>
              <w:jc w:val="center"/>
            </w:pPr>
            <w:r>
              <w:t>品目名称</w:t>
            </w:r>
          </w:p>
        </w:tc>
        <w:tc>
          <w:tcPr>
            <w:tcW w:w="933" w:type="dxa"/>
          </w:tcPr>
          <w:p w14:paraId="3D247C79">
            <w:pPr>
              <w:pStyle w:val="5"/>
              <w:jc w:val="center"/>
            </w:pPr>
            <w:r>
              <w:t>标的名称</w:t>
            </w:r>
          </w:p>
        </w:tc>
        <w:tc>
          <w:tcPr>
            <w:tcW w:w="933" w:type="dxa"/>
          </w:tcPr>
          <w:p w14:paraId="382738E0">
            <w:pPr>
              <w:pStyle w:val="5"/>
              <w:jc w:val="center"/>
            </w:pPr>
            <w:r>
              <w:t>单位</w:t>
            </w:r>
          </w:p>
        </w:tc>
        <w:tc>
          <w:tcPr>
            <w:tcW w:w="933" w:type="dxa"/>
          </w:tcPr>
          <w:p w14:paraId="10047BC6">
            <w:pPr>
              <w:pStyle w:val="5"/>
              <w:jc w:val="center"/>
            </w:pPr>
            <w:r>
              <w:t>数量</w:t>
            </w:r>
          </w:p>
        </w:tc>
        <w:tc>
          <w:tcPr>
            <w:tcW w:w="933" w:type="dxa"/>
          </w:tcPr>
          <w:p w14:paraId="502FC2AD">
            <w:pPr>
              <w:pStyle w:val="5"/>
              <w:jc w:val="center"/>
            </w:pPr>
            <w:r>
              <w:t>分项预算单价（元）</w:t>
            </w:r>
          </w:p>
        </w:tc>
        <w:tc>
          <w:tcPr>
            <w:tcW w:w="933" w:type="dxa"/>
          </w:tcPr>
          <w:p w14:paraId="08969495">
            <w:pPr>
              <w:pStyle w:val="5"/>
              <w:jc w:val="center"/>
            </w:pPr>
            <w:r>
              <w:t>分项预算总价（元）</w:t>
            </w:r>
          </w:p>
        </w:tc>
        <w:tc>
          <w:tcPr>
            <w:tcW w:w="840" w:type="dxa"/>
          </w:tcPr>
          <w:p w14:paraId="474CC210">
            <w:pPr>
              <w:pStyle w:val="5"/>
            </w:pPr>
            <w:r>
              <w:t>所属行业</w:t>
            </w:r>
          </w:p>
        </w:tc>
        <w:tc>
          <w:tcPr>
            <w:tcW w:w="933" w:type="dxa"/>
          </w:tcPr>
          <w:p w14:paraId="20A44F40">
            <w:pPr>
              <w:pStyle w:val="5"/>
              <w:jc w:val="center"/>
            </w:pPr>
            <w:r>
              <w:t>技术要求</w:t>
            </w:r>
          </w:p>
        </w:tc>
      </w:tr>
      <w:tr w14:paraId="2BB6F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21431291">
            <w:pPr>
              <w:pStyle w:val="5"/>
              <w:jc w:val="center"/>
            </w:pPr>
            <w:r>
              <w:t>1</w:t>
            </w:r>
          </w:p>
        </w:tc>
        <w:tc>
          <w:tcPr>
            <w:tcW w:w="933" w:type="dxa"/>
          </w:tcPr>
          <w:p w14:paraId="0591A84D">
            <w:pPr>
              <w:pStyle w:val="5"/>
              <w:jc w:val="left"/>
            </w:pPr>
            <w:r>
              <w:t>其他建筑工程</w:t>
            </w:r>
          </w:p>
        </w:tc>
        <w:tc>
          <w:tcPr>
            <w:tcW w:w="933" w:type="dxa"/>
          </w:tcPr>
          <w:p w14:paraId="2D36E24E">
            <w:pPr>
              <w:pStyle w:val="5"/>
              <w:jc w:val="left"/>
            </w:pPr>
            <w:r>
              <w:t>消防升级改造项目</w:t>
            </w:r>
          </w:p>
        </w:tc>
        <w:tc>
          <w:tcPr>
            <w:tcW w:w="933" w:type="dxa"/>
          </w:tcPr>
          <w:p w14:paraId="05AAB3C2">
            <w:pPr>
              <w:pStyle w:val="5"/>
              <w:jc w:val="left"/>
            </w:pPr>
            <w:r>
              <w:t>项</w:t>
            </w:r>
          </w:p>
        </w:tc>
        <w:tc>
          <w:tcPr>
            <w:tcW w:w="933" w:type="dxa"/>
          </w:tcPr>
          <w:p w14:paraId="3FF767D7">
            <w:pPr>
              <w:pStyle w:val="5"/>
              <w:jc w:val="right"/>
            </w:pPr>
            <w:r>
              <w:t>1.00</w:t>
            </w:r>
          </w:p>
        </w:tc>
        <w:tc>
          <w:tcPr>
            <w:tcW w:w="933" w:type="dxa"/>
          </w:tcPr>
          <w:p w14:paraId="0CCA22B7">
            <w:pPr>
              <w:pStyle w:val="5"/>
              <w:jc w:val="right"/>
            </w:pPr>
          </w:p>
        </w:tc>
        <w:tc>
          <w:tcPr>
            <w:tcW w:w="933" w:type="dxa"/>
          </w:tcPr>
          <w:p w14:paraId="220A0BAE">
            <w:pPr>
              <w:pStyle w:val="5"/>
              <w:jc w:val="right"/>
            </w:pPr>
          </w:p>
        </w:tc>
        <w:tc>
          <w:tcPr>
            <w:tcW w:w="840" w:type="dxa"/>
          </w:tcPr>
          <w:p w14:paraId="55D9828A">
            <w:pPr>
              <w:pStyle w:val="5"/>
            </w:pPr>
            <w:r>
              <w:t>建筑业</w:t>
            </w:r>
          </w:p>
        </w:tc>
        <w:tc>
          <w:tcPr>
            <w:tcW w:w="933" w:type="dxa"/>
          </w:tcPr>
          <w:p w14:paraId="30AA152E">
            <w:pPr>
              <w:pStyle w:val="5"/>
            </w:pPr>
            <w:r>
              <w:t>详见附表一</w:t>
            </w:r>
          </w:p>
        </w:tc>
      </w:tr>
    </w:tbl>
    <w:p w14:paraId="1D2058C0">
      <w:pPr>
        <w:keepNext w:val="0"/>
        <w:keepLines w:val="0"/>
        <w:pageBreakBefore w:val="0"/>
        <w:widowControl w:val="0"/>
        <w:kinsoku/>
        <w:wordWrap/>
        <w:overflowPunct/>
        <w:topLinePunct w:val="0"/>
        <w:autoSpaceDE/>
        <w:autoSpaceDN/>
        <w:bidi w:val="0"/>
        <w:adjustRightInd/>
        <w:snapToGrid/>
        <w:spacing w:line="600" w:lineRule="auto"/>
        <w:ind w:right="240" w:rightChars="100"/>
        <w:jc w:val="left"/>
        <w:textAlignment w:val="auto"/>
        <w:rPr>
          <w:sz w:val="21"/>
          <w:szCs w:val="21"/>
        </w:rPr>
      </w:pPr>
      <w:r>
        <w:rPr>
          <w:rFonts w:hint="eastAsia" w:asciiTheme="minorHAnsi" w:hAnsiTheme="minorHAnsi" w:eastAsiaTheme="minorEastAsia" w:cstheme="minorBidi"/>
          <w:color w:val="auto"/>
          <w:sz w:val="28"/>
          <w:szCs w:val="20"/>
          <w:lang w:val="en-US" w:eastAsia="zh-Hans"/>
        </w:rPr>
        <w:t>附表一：</w:t>
      </w:r>
      <w:r>
        <w:rPr>
          <w:rFonts w:hint="eastAsia" w:asciiTheme="minorHAnsi" w:hAnsiTheme="minorHAnsi" w:eastAsiaTheme="minorEastAsia" w:cstheme="minorBidi"/>
          <w:color w:val="auto"/>
          <w:sz w:val="22"/>
          <w:szCs w:val="16"/>
          <w:lang w:val="en-US" w:eastAsia="zh-CN"/>
        </w:rPr>
        <w:t>惠州市实验中学本部食堂改造消防修缮工程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56"/>
        <w:gridCol w:w="5814"/>
      </w:tblGrid>
      <w:tr w14:paraId="50769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2DBDE14">
            <w:pPr>
              <w:pStyle w:val="5"/>
              <w:rPr>
                <w:sz w:val="24"/>
                <w:szCs w:val="24"/>
              </w:rPr>
            </w:pPr>
            <w:r>
              <w:rPr>
                <w:sz w:val="24"/>
                <w:szCs w:val="24"/>
              </w:rPr>
              <w:t>参数性质</w:t>
            </w:r>
          </w:p>
        </w:tc>
        <w:tc>
          <w:tcPr>
            <w:tcW w:w="415" w:type="dxa"/>
          </w:tcPr>
          <w:p w14:paraId="16BC3062">
            <w:pPr>
              <w:pStyle w:val="5"/>
              <w:rPr>
                <w:sz w:val="24"/>
                <w:szCs w:val="24"/>
              </w:rPr>
            </w:pPr>
            <w:r>
              <w:rPr>
                <w:sz w:val="24"/>
                <w:szCs w:val="24"/>
              </w:rPr>
              <w:t>序号</w:t>
            </w:r>
          </w:p>
        </w:tc>
        <w:tc>
          <w:tcPr>
            <w:tcW w:w="5814" w:type="dxa"/>
          </w:tcPr>
          <w:p w14:paraId="7006F99B">
            <w:pPr>
              <w:pStyle w:val="5"/>
              <w:rPr>
                <w:sz w:val="24"/>
                <w:szCs w:val="24"/>
              </w:rPr>
            </w:pPr>
            <w:r>
              <w:rPr>
                <w:sz w:val="24"/>
                <w:szCs w:val="24"/>
              </w:rPr>
              <w:t>具体技术(参数)要求</w:t>
            </w:r>
          </w:p>
        </w:tc>
      </w:tr>
      <w:tr w14:paraId="27C42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ADCB8F5">
            <w:pPr>
              <w:rPr>
                <w:sz w:val="24"/>
                <w:szCs w:val="24"/>
              </w:rPr>
            </w:pPr>
          </w:p>
        </w:tc>
        <w:tc>
          <w:tcPr>
            <w:tcW w:w="415" w:type="dxa"/>
          </w:tcPr>
          <w:p w14:paraId="08ACD967">
            <w:pPr>
              <w:pStyle w:val="5"/>
              <w:rPr>
                <w:sz w:val="24"/>
                <w:szCs w:val="24"/>
              </w:rPr>
            </w:pPr>
            <w:r>
              <w:rPr>
                <w:sz w:val="24"/>
                <w:szCs w:val="24"/>
              </w:rPr>
              <w:t>1</w:t>
            </w:r>
          </w:p>
        </w:tc>
        <w:tc>
          <w:tcPr>
            <w:tcW w:w="5814" w:type="dxa"/>
          </w:tcPr>
          <w:p w14:paraId="6384BABC">
            <w:pPr>
              <w:pStyle w:val="5"/>
              <w:ind w:firstLine="560"/>
              <w:jc w:val="left"/>
              <w:rPr>
                <w:sz w:val="24"/>
                <w:szCs w:val="24"/>
              </w:rPr>
            </w:pPr>
            <w:r>
              <w:rPr>
                <w:rFonts w:hint="eastAsia"/>
                <w:sz w:val="24"/>
                <w:szCs w:val="24"/>
                <w:lang w:val="en-US" w:eastAsia="zh-CN"/>
              </w:rPr>
              <w:t>具体装修材料</w:t>
            </w:r>
            <w:r>
              <w:rPr>
                <w:sz w:val="24"/>
                <w:szCs w:val="24"/>
              </w:rPr>
              <w:t>要求</w:t>
            </w:r>
          </w:p>
          <w:p w14:paraId="2ACE36A9">
            <w:pPr>
              <w:pStyle w:val="5"/>
              <w:ind w:firstLine="560"/>
              <w:jc w:val="left"/>
              <w:rPr>
                <w:sz w:val="24"/>
                <w:szCs w:val="24"/>
              </w:rPr>
            </w:pPr>
            <w:r>
              <w:rPr>
                <w:sz w:val="24"/>
                <w:szCs w:val="24"/>
              </w:rPr>
              <w:t>（1）应提供项目整体实施组织方案，包含施工总体部署、施工总体流程、施工总平面布置各分部分项工程的施工方法、技术保证措施等内容。</w:t>
            </w:r>
          </w:p>
          <w:p w14:paraId="20CCDD55">
            <w:pPr>
              <w:pStyle w:val="5"/>
              <w:ind w:firstLine="560"/>
              <w:jc w:val="left"/>
              <w:rPr>
                <w:sz w:val="24"/>
                <w:szCs w:val="24"/>
              </w:rPr>
            </w:pPr>
            <w:r>
              <w:rPr>
                <w:sz w:val="24"/>
                <w:szCs w:val="24"/>
              </w:rPr>
              <w:t>（2）应提供项目施工进度计划。</w:t>
            </w:r>
          </w:p>
          <w:p w14:paraId="55BA1BEF">
            <w:pPr>
              <w:pStyle w:val="5"/>
              <w:ind w:firstLine="560"/>
              <w:jc w:val="left"/>
              <w:rPr>
                <w:sz w:val="24"/>
                <w:szCs w:val="24"/>
              </w:rPr>
            </w:pPr>
            <w:r>
              <w:rPr>
                <w:sz w:val="24"/>
                <w:szCs w:val="24"/>
              </w:rPr>
              <w:t>（3）应提供项目安全施工、文明施工与环境保护措施等内容。</w:t>
            </w:r>
          </w:p>
        </w:tc>
      </w:tr>
      <w:tr w14:paraId="13ED1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643E3B">
            <w:pPr>
              <w:rPr>
                <w:sz w:val="24"/>
                <w:szCs w:val="24"/>
              </w:rPr>
            </w:pPr>
          </w:p>
        </w:tc>
        <w:tc>
          <w:tcPr>
            <w:tcW w:w="415" w:type="dxa"/>
          </w:tcPr>
          <w:p w14:paraId="14198D5B">
            <w:pPr>
              <w:pStyle w:val="5"/>
              <w:rPr>
                <w:sz w:val="24"/>
                <w:szCs w:val="24"/>
              </w:rPr>
            </w:pPr>
            <w:r>
              <w:rPr>
                <w:sz w:val="24"/>
                <w:szCs w:val="24"/>
              </w:rPr>
              <w:t>2</w:t>
            </w:r>
          </w:p>
        </w:tc>
        <w:tc>
          <w:tcPr>
            <w:tcW w:w="5814" w:type="dxa"/>
          </w:tcPr>
          <w:p w14:paraId="0566F33B">
            <w:pPr>
              <w:pStyle w:val="5"/>
              <w:ind w:firstLine="560"/>
              <w:jc w:val="left"/>
              <w:rPr>
                <w:sz w:val="24"/>
                <w:szCs w:val="24"/>
              </w:rPr>
            </w:pPr>
            <w:r>
              <w:rPr>
                <w:sz w:val="24"/>
                <w:szCs w:val="24"/>
              </w:rPr>
              <w:t>现场条件</w:t>
            </w:r>
          </w:p>
          <w:p w14:paraId="34915C28">
            <w:pPr>
              <w:pStyle w:val="5"/>
              <w:ind w:firstLine="560"/>
              <w:jc w:val="left"/>
              <w:rPr>
                <w:sz w:val="24"/>
                <w:szCs w:val="24"/>
                <w:highlight w:val="none"/>
              </w:rPr>
            </w:pPr>
            <w:r>
              <w:rPr>
                <w:sz w:val="24"/>
                <w:szCs w:val="24"/>
                <w:highlight w:val="none"/>
              </w:rPr>
              <w:t>（1）施工场地：已具备开工条件。</w:t>
            </w:r>
          </w:p>
          <w:p w14:paraId="4D4EB43C">
            <w:pPr>
              <w:pStyle w:val="5"/>
              <w:ind w:firstLine="560"/>
              <w:jc w:val="left"/>
              <w:rPr>
                <w:rFonts w:hint="eastAsia"/>
                <w:sz w:val="24"/>
                <w:szCs w:val="24"/>
                <w:highlight w:val="none"/>
              </w:rPr>
            </w:pPr>
            <w:r>
              <w:rPr>
                <w:sz w:val="24"/>
                <w:szCs w:val="24"/>
                <w:highlight w:val="none"/>
              </w:rPr>
              <w:t>（2）施工用水：</w:t>
            </w:r>
            <w:r>
              <w:rPr>
                <w:rFonts w:hint="eastAsia"/>
                <w:sz w:val="24"/>
                <w:szCs w:val="24"/>
                <w:highlight w:val="none"/>
              </w:rPr>
              <w:t>施工及消防调试用水，由</w:t>
            </w:r>
            <w:r>
              <w:rPr>
                <w:rFonts w:hint="eastAsia"/>
                <w:sz w:val="24"/>
                <w:szCs w:val="24"/>
                <w:highlight w:val="none"/>
                <w:lang w:val="en-US" w:eastAsia="zh-CN"/>
              </w:rPr>
              <w:t>招标人提供</w:t>
            </w:r>
            <w:r>
              <w:rPr>
                <w:rFonts w:hint="eastAsia"/>
                <w:sz w:val="24"/>
                <w:szCs w:val="24"/>
                <w:highlight w:val="none"/>
              </w:rPr>
              <w:t>临时用水接驳点</w:t>
            </w:r>
          </w:p>
          <w:p w14:paraId="66D1C045">
            <w:pPr>
              <w:pStyle w:val="5"/>
              <w:ind w:firstLine="560"/>
              <w:jc w:val="left"/>
              <w:rPr>
                <w:rFonts w:hint="eastAsia"/>
                <w:sz w:val="24"/>
                <w:szCs w:val="24"/>
                <w:highlight w:val="none"/>
              </w:rPr>
            </w:pPr>
            <w:r>
              <w:rPr>
                <w:sz w:val="24"/>
                <w:szCs w:val="24"/>
                <w:highlight w:val="none"/>
              </w:rPr>
              <w:t>（3）施工用电：</w:t>
            </w:r>
            <w:r>
              <w:rPr>
                <w:rFonts w:hint="eastAsia"/>
                <w:sz w:val="24"/>
                <w:szCs w:val="24"/>
                <w:highlight w:val="none"/>
              </w:rPr>
              <w:t>施工及消防调试用</w:t>
            </w:r>
            <w:r>
              <w:rPr>
                <w:rFonts w:hint="eastAsia"/>
                <w:sz w:val="24"/>
                <w:szCs w:val="24"/>
                <w:highlight w:val="none"/>
                <w:lang w:val="en-US" w:eastAsia="zh-CN"/>
              </w:rPr>
              <w:t>电</w:t>
            </w:r>
            <w:r>
              <w:rPr>
                <w:rFonts w:hint="eastAsia"/>
                <w:sz w:val="24"/>
                <w:szCs w:val="24"/>
                <w:highlight w:val="none"/>
              </w:rPr>
              <w:t>，由</w:t>
            </w:r>
            <w:r>
              <w:rPr>
                <w:rFonts w:hint="eastAsia"/>
                <w:sz w:val="24"/>
                <w:szCs w:val="24"/>
                <w:highlight w:val="none"/>
                <w:lang w:val="en-US" w:eastAsia="zh-CN"/>
              </w:rPr>
              <w:t>招标人提供</w:t>
            </w:r>
            <w:r>
              <w:rPr>
                <w:rFonts w:hint="eastAsia"/>
                <w:sz w:val="24"/>
                <w:szCs w:val="24"/>
                <w:highlight w:val="none"/>
              </w:rPr>
              <w:t>临时用</w:t>
            </w:r>
            <w:r>
              <w:rPr>
                <w:rFonts w:hint="eastAsia"/>
                <w:sz w:val="24"/>
                <w:szCs w:val="24"/>
                <w:highlight w:val="none"/>
                <w:lang w:val="en-US" w:eastAsia="zh-CN"/>
              </w:rPr>
              <w:t>电</w:t>
            </w:r>
            <w:r>
              <w:rPr>
                <w:rFonts w:hint="eastAsia"/>
                <w:sz w:val="24"/>
                <w:szCs w:val="24"/>
                <w:highlight w:val="none"/>
              </w:rPr>
              <w:t>接驳点</w:t>
            </w:r>
          </w:p>
          <w:p w14:paraId="71D271F7">
            <w:pPr>
              <w:pStyle w:val="5"/>
              <w:ind w:firstLine="560"/>
              <w:jc w:val="left"/>
              <w:rPr>
                <w:sz w:val="24"/>
                <w:szCs w:val="24"/>
              </w:rPr>
            </w:pPr>
          </w:p>
          <w:p w14:paraId="6C627543">
            <w:pPr>
              <w:pStyle w:val="5"/>
              <w:ind w:firstLine="560"/>
              <w:jc w:val="left"/>
              <w:rPr>
                <w:sz w:val="24"/>
                <w:szCs w:val="24"/>
              </w:rPr>
            </w:pPr>
            <w:r>
              <w:rPr>
                <w:sz w:val="24"/>
                <w:szCs w:val="24"/>
              </w:rPr>
              <w:t>（4）临时设施：由施工单位自行搭设。</w:t>
            </w:r>
          </w:p>
          <w:p w14:paraId="2096AAC1">
            <w:pPr>
              <w:pStyle w:val="5"/>
              <w:ind w:firstLine="560"/>
              <w:jc w:val="left"/>
              <w:rPr>
                <w:sz w:val="24"/>
                <w:szCs w:val="24"/>
              </w:rPr>
            </w:pPr>
            <w:r>
              <w:rPr>
                <w:sz w:val="24"/>
                <w:szCs w:val="24"/>
              </w:rPr>
              <w:t>（5）施工过程中损坏了非本项目范围内的其它设施，施工方须无条件修复。</w:t>
            </w:r>
          </w:p>
        </w:tc>
      </w:tr>
      <w:tr w14:paraId="1116C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198236">
            <w:pPr>
              <w:rPr>
                <w:sz w:val="24"/>
                <w:szCs w:val="24"/>
              </w:rPr>
            </w:pPr>
          </w:p>
        </w:tc>
        <w:tc>
          <w:tcPr>
            <w:tcW w:w="415" w:type="dxa"/>
          </w:tcPr>
          <w:p w14:paraId="65C68615">
            <w:pPr>
              <w:pStyle w:val="5"/>
              <w:rPr>
                <w:sz w:val="24"/>
                <w:szCs w:val="24"/>
              </w:rPr>
            </w:pPr>
            <w:r>
              <w:rPr>
                <w:sz w:val="24"/>
                <w:szCs w:val="24"/>
              </w:rPr>
              <w:t>3</w:t>
            </w:r>
          </w:p>
        </w:tc>
        <w:tc>
          <w:tcPr>
            <w:tcW w:w="5814" w:type="dxa"/>
          </w:tcPr>
          <w:p w14:paraId="4D12520A">
            <w:pPr>
              <w:pStyle w:val="5"/>
              <w:ind w:firstLine="560"/>
              <w:jc w:val="left"/>
              <w:rPr>
                <w:sz w:val="24"/>
                <w:szCs w:val="24"/>
              </w:rPr>
            </w:pPr>
            <w:r>
              <w:rPr>
                <w:sz w:val="24"/>
                <w:szCs w:val="24"/>
              </w:rPr>
              <w:t>作业要求</w:t>
            </w:r>
          </w:p>
          <w:p w14:paraId="79F3D236">
            <w:pPr>
              <w:pStyle w:val="5"/>
              <w:ind w:firstLine="560"/>
              <w:jc w:val="left"/>
              <w:rPr>
                <w:sz w:val="24"/>
                <w:szCs w:val="24"/>
              </w:rPr>
            </w:pPr>
            <w:r>
              <w:rPr>
                <w:sz w:val="24"/>
                <w:szCs w:val="24"/>
              </w:rPr>
              <w:t>（1）采购人不提供施工所需的食宿、办公场地，均由成交供应商在施工现场以外自行解决，其费用成交供应商自理；</w:t>
            </w:r>
          </w:p>
          <w:p w14:paraId="792842EF">
            <w:pPr>
              <w:pStyle w:val="5"/>
              <w:ind w:firstLine="560"/>
              <w:jc w:val="left"/>
              <w:rPr>
                <w:sz w:val="24"/>
                <w:szCs w:val="24"/>
              </w:rPr>
            </w:pPr>
            <w:r>
              <w:rPr>
                <w:sz w:val="24"/>
                <w:szCs w:val="24"/>
              </w:rPr>
              <w:t>（2）采购人不提供临时及材料加工场，临时设施及材料加工由成交供应商在施工现场以外解决，其费用由成交供应商自理；</w:t>
            </w:r>
          </w:p>
          <w:p w14:paraId="55D02BAB">
            <w:pPr>
              <w:pStyle w:val="5"/>
              <w:ind w:firstLine="560"/>
              <w:jc w:val="left"/>
              <w:rPr>
                <w:sz w:val="24"/>
                <w:szCs w:val="24"/>
              </w:rPr>
            </w:pPr>
            <w:r>
              <w:rPr>
                <w:sz w:val="24"/>
                <w:szCs w:val="24"/>
              </w:rPr>
              <w:t>（3）施工时间安排：上午：7：00—12:00，下午14:30—18:30，如遇到特殊情况，以采购人书面或口头通知为准；</w:t>
            </w:r>
          </w:p>
          <w:p w14:paraId="08E8270D">
            <w:pPr>
              <w:pStyle w:val="5"/>
              <w:ind w:firstLine="560"/>
              <w:jc w:val="left"/>
              <w:rPr>
                <w:sz w:val="24"/>
                <w:szCs w:val="24"/>
              </w:rPr>
            </w:pPr>
            <w:r>
              <w:rPr>
                <w:sz w:val="24"/>
                <w:szCs w:val="24"/>
              </w:rPr>
              <w:t>（</w:t>
            </w:r>
            <w:r>
              <w:rPr>
                <w:rFonts w:hint="eastAsia"/>
                <w:sz w:val="24"/>
                <w:szCs w:val="24"/>
                <w:lang w:val="en-US" w:eastAsia="zh-CN"/>
              </w:rPr>
              <w:t>4</w:t>
            </w:r>
            <w:r>
              <w:rPr>
                <w:sz w:val="24"/>
                <w:szCs w:val="24"/>
              </w:rPr>
              <w:t>）成交供应商应确保施工现场的清洁卫生，建筑垃圾须当日清理干净，不得留在现场过夜；</w:t>
            </w:r>
          </w:p>
          <w:p w14:paraId="42BB787B">
            <w:pPr>
              <w:pStyle w:val="5"/>
              <w:ind w:firstLine="560"/>
              <w:jc w:val="left"/>
              <w:rPr>
                <w:sz w:val="24"/>
                <w:szCs w:val="24"/>
              </w:rPr>
            </w:pPr>
            <w:r>
              <w:rPr>
                <w:sz w:val="24"/>
                <w:szCs w:val="24"/>
              </w:rPr>
              <w:t>（</w:t>
            </w:r>
            <w:r>
              <w:rPr>
                <w:rFonts w:hint="eastAsia"/>
                <w:sz w:val="24"/>
                <w:szCs w:val="24"/>
                <w:lang w:val="en-US" w:eastAsia="zh-CN"/>
              </w:rPr>
              <w:t>5</w:t>
            </w:r>
            <w:r>
              <w:rPr>
                <w:sz w:val="24"/>
                <w:szCs w:val="24"/>
              </w:rPr>
              <w:t>）成交供应商一旦进场施工，须严格遵守采购人的各项规章制度，包括但不限于：</w:t>
            </w:r>
          </w:p>
          <w:p w14:paraId="54F9A955">
            <w:pPr>
              <w:pStyle w:val="5"/>
              <w:ind w:firstLine="560"/>
              <w:jc w:val="left"/>
              <w:rPr>
                <w:sz w:val="24"/>
                <w:szCs w:val="24"/>
              </w:rPr>
            </w:pPr>
            <w:r>
              <w:rPr>
                <w:sz w:val="24"/>
                <w:szCs w:val="24"/>
              </w:rPr>
              <w:t>①在规定的地域施工和活动；</w:t>
            </w:r>
          </w:p>
          <w:p w14:paraId="0342BB53">
            <w:pPr>
              <w:pStyle w:val="5"/>
              <w:ind w:firstLine="560"/>
              <w:jc w:val="left"/>
              <w:rPr>
                <w:sz w:val="24"/>
                <w:szCs w:val="24"/>
              </w:rPr>
            </w:pPr>
            <w:r>
              <w:rPr>
                <w:sz w:val="24"/>
                <w:szCs w:val="24"/>
              </w:rPr>
              <w:t>②项目经理和管理人员须坚守岗位，因事需离开施工现场超过一天的，需提前向采购人请假，经采购人同意方可离开；</w:t>
            </w:r>
          </w:p>
          <w:p w14:paraId="21455CFE">
            <w:pPr>
              <w:pStyle w:val="5"/>
              <w:ind w:firstLine="560"/>
              <w:jc w:val="left"/>
              <w:rPr>
                <w:sz w:val="24"/>
                <w:szCs w:val="24"/>
              </w:rPr>
            </w:pPr>
            <w:r>
              <w:rPr>
                <w:sz w:val="24"/>
                <w:szCs w:val="24"/>
              </w:rPr>
              <w:t>（</w:t>
            </w:r>
            <w:r>
              <w:rPr>
                <w:rFonts w:hint="eastAsia"/>
                <w:sz w:val="24"/>
                <w:szCs w:val="24"/>
                <w:lang w:val="en-US" w:eastAsia="zh-CN"/>
              </w:rPr>
              <w:t>6</w:t>
            </w:r>
            <w:r>
              <w:rPr>
                <w:sz w:val="24"/>
                <w:szCs w:val="24"/>
              </w:rPr>
              <w:t>）须指定和落实安全生产及文明施工措施，施工期间须严格管理施工人员，保护好已完工工程产品，发生一切安全事故均由成交供应商自行负责。严格加强管理，如发生盗窃，斗殴等现象，根据情节轻重，除追究当事人责任外，并向主管部门进行通报，及在履约保证金中给予处罚。</w:t>
            </w:r>
          </w:p>
          <w:p w14:paraId="79E67A82">
            <w:pPr>
              <w:pStyle w:val="5"/>
              <w:ind w:firstLine="560"/>
              <w:jc w:val="left"/>
              <w:rPr>
                <w:sz w:val="24"/>
                <w:szCs w:val="24"/>
              </w:rPr>
            </w:pPr>
            <w:r>
              <w:rPr>
                <w:sz w:val="24"/>
                <w:szCs w:val="24"/>
              </w:rPr>
              <w:t>（</w:t>
            </w:r>
            <w:r>
              <w:rPr>
                <w:rFonts w:hint="eastAsia"/>
                <w:sz w:val="24"/>
                <w:szCs w:val="24"/>
                <w:lang w:val="en-US" w:eastAsia="zh-CN"/>
              </w:rPr>
              <w:t>7</w:t>
            </w:r>
            <w:r>
              <w:rPr>
                <w:sz w:val="24"/>
                <w:szCs w:val="24"/>
              </w:rPr>
              <w:t>）工程完工后及时拆除临时设施，清运垃圾，做好相关工序工作，并积极配合采购人组织验收，做好验收记录，做到工完场清。</w:t>
            </w:r>
          </w:p>
        </w:tc>
      </w:tr>
      <w:tr w14:paraId="0419C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FD0298">
            <w:pPr>
              <w:rPr>
                <w:sz w:val="24"/>
                <w:szCs w:val="24"/>
              </w:rPr>
            </w:pPr>
          </w:p>
        </w:tc>
        <w:tc>
          <w:tcPr>
            <w:tcW w:w="415" w:type="dxa"/>
          </w:tcPr>
          <w:p w14:paraId="1774E0F8">
            <w:pPr>
              <w:pStyle w:val="5"/>
              <w:rPr>
                <w:sz w:val="24"/>
                <w:szCs w:val="24"/>
              </w:rPr>
            </w:pPr>
            <w:r>
              <w:rPr>
                <w:sz w:val="24"/>
                <w:szCs w:val="24"/>
              </w:rPr>
              <w:t>4</w:t>
            </w:r>
          </w:p>
        </w:tc>
        <w:tc>
          <w:tcPr>
            <w:tcW w:w="5814" w:type="dxa"/>
          </w:tcPr>
          <w:p w14:paraId="473BEC61">
            <w:pPr>
              <w:pStyle w:val="5"/>
              <w:ind w:firstLine="560"/>
              <w:jc w:val="left"/>
              <w:rPr>
                <w:sz w:val="24"/>
                <w:szCs w:val="24"/>
              </w:rPr>
            </w:pPr>
            <w:r>
              <w:rPr>
                <w:sz w:val="24"/>
                <w:szCs w:val="24"/>
              </w:rPr>
              <w:t>项目技术要求</w:t>
            </w:r>
          </w:p>
          <w:p w14:paraId="3A64FB9A">
            <w:pPr>
              <w:pStyle w:val="5"/>
              <w:ind w:firstLine="560"/>
              <w:jc w:val="left"/>
              <w:rPr>
                <w:sz w:val="24"/>
                <w:szCs w:val="24"/>
              </w:rPr>
            </w:pPr>
            <w:r>
              <w:rPr>
                <w:sz w:val="24"/>
                <w:szCs w:val="24"/>
              </w:rPr>
              <w:t>1）工程施工技术要求：</w:t>
            </w:r>
          </w:p>
          <w:p w14:paraId="43AA8E7F">
            <w:pPr>
              <w:pStyle w:val="5"/>
              <w:ind w:firstLine="560"/>
              <w:jc w:val="left"/>
              <w:rPr>
                <w:sz w:val="24"/>
                <w:szCs w:val="24"/>
              </w:rPr>
            </w:pPr>
            <w:r>
              <w:rPr>
                <w:sz w:val="24"/>
                <w:szCs w:val="24"/>
              </w:rPr>
              <w:t>①严格按照国家和地方现行施工验收规范、标准进行施工。</w:t>
            </w:r>
          </w:p>
          <w:p w14:paraId="5578B1AF">
            <w:pPr>
              <w:pStyle w:val="5"/>
              <w:ind w:firstLine="560"/>
              <w:jc w:val="left"/>
              <w:rPr>
                <w:sz w:val="24"/>
                <w:szCs w:val="24"/>
              </w:rPr>
            </w:pPr>
            <w:r>
              <w:rPr>
                <w:sz w:val="24"/>
                <w:szCs w:val="24"/>
              </w:rPr>
              <w:t>②严格按照采购人提供的施工图纸、技术资料要求进行施工。</w:t>
            </w:r>
          </w:p>
          <w:p w14:paraId="48C92374">
            <w:pPr>
              <w:pStyle w:val="5"/>
              <w:ind w:firstLine="560"/>
              <w:jc w:val="left"/>
              <w:rPr>
                <w:sz w:val="24"/>
                <w:szCs w:val="24"/>
              </w:rPr>
            </w:pPr>
            <w:r>
              <w:rPr>
                <w:sz w:val="24"/>
                <w:szCs w:val="24"/>
              </w:rPr>
              <w:t>③按采购人要求随时停工及开工，可顺延竣工工日，但不签证误工费用。</w:t>
            </w:r>
          </w:p>
          <w:p w14:paraId="0A0A05E3">
            <w:pPr>
              <w:pStyle w:val="5"/>
              <w:ind w:firstLine="560"/>
              <w:jc w:val="left"/>
              <w:rPr>
                <w:sz w:val="24"/>
                <w:szCs w:val="24"/>
              </w:rPr>
            </w:pPr>
            <w:r>
              <w:rPr>
                <w:sz w:val="24"/>
                <w:szCs w:val="24"/>
              </w:rPr>
              <w:t>④每天清理施工现场周边垃圾及清洁路面，损坏路面需及时修复。</w:t>
            </w:r>
          </w:p>
          <w:p w14:paraId="3026F7EC">
            <w:pPr>
              <w:pStyle w:val="5"/>
              <w:ind w:firstLine="560"/>
              <w:jc w:val="left"/>
              <w:rPr>
                <w:sz w:val="24"/>
                <w:szCs w:val="24"/>
              </w:rPr>
            </w:pPr>
            <w:r>
              <w:rPr>
                <w:sz w:val="24"/>
                <w:szCs w:val="24"/>
              </w:rPr>
              <w:t>⑤减少灰尘及噪音，不得影响周围环境。</w:t>
            </w:r>
          </w:p>
          <w:p w14:paraId="5866A606">
            <w:pPr>
              <w:pStyle w:val="5"/>
              <w:ind w:firstLine="560"/>
              <w:jc w:val="left"/>
              <w:rPr>
                <w:sz w:val="24"/>
                <w:szCs w:val="24"/>
              </w:rPr>
            </w:pPr>
            <w:r>
              <w:rPr>
                <w:sz w:val="24"/>
                <w:szCs w:val="24"/>
              </w:rPr>
              <w:t>2）材料要求和供应方式：</w:t>
            </w:r>
          </w:p>
          <w:p w14:paraId="45BF9FAD">
            <w:pPr>
              <w:pStyle w:val="5"/>
              <w:ind w:firstLine="560"/>
              <w:jc w:val="left"/>
              <w:rPr>
                <w:sz w:val="24"/>
                <w:szCs w:val="24"/>
              </w:rPr>
            </w:pPr>
            <w:r>
              <w:rPr>
                <w:sz w:val="24"/>
                <w:szCs w:val="24"/>
              </w:rPr>
              <w:t>①成交供应商采购材料设备须提供质量认证证书由采购人认可，才能进入施工，凡该未详事项均按国家现行有关施工规范及强制性标准执行。</w:t>
            </w:r>
          </w:p>
          <w:p w14:paraId="26911481">
            <w:pPr>
              <w:pStyle w:val="5"/>
              <w:ind w:firstLine="560"/>
              <w:jc w:val="left"/>
              <w:rPr>
                <w:sz w:val="24"/>
                <w:szCs w:val="24"/>
              </w:rPr>
            </w:pPr>
            <w:r>
              <w:rPr>
                <w:sz w:val="24"/>
                <w:szCs w:val="24"/>
              </w:rPr>
              <w:t>②本工程产品须有国家质量监督检验局检验合格证书，及相应的认证证书。订货前成交供应商应提供生产厂家的合格证书和建材质检部门的产品合格证，经采购人确认，符合采购文件，方可使用；</w:t>
            </w:r>
          </w:p>
          <w:p w14:paraId="21CE580B">
            <w:pPr>
              <w:pStyle w:val="5"/>
              <w:ind w:firstLine="560"/>
              <w:jc w:val="left"/>
              <w:rPr>
                <w:sz w:val="24"/>
                <w:szCs w:val="24"/>
              </w:rPr>
            </w:pPr>
            <w:r>
              <w:rPr>
                <w:sz w:val="24"/>
                <w:szCs w:val="24"/>
              </w:rPr>
              <w:t>③采购人保留对本工程使用之主要材料品质确认审查的权利及保留另行委托专业单位对本工程进行独立检测的权利 。</w:t>
            </w:r>
          </w:p>
          <w:p w14:paraId="16247BDA">
            <w:pPr>
              <w:pStyle w:val="5"/>
              <w:ind w:firstLine="560"/>
              <w:jc w:val="left"/>
              <w:rPr>
                <w:sz w:val="24"/>
                <w:szCs w:val="24"/>
              </w:rPr>
            </w:pPr>
            <w:r>
              <w:rPr>
                <w:sz w:val="24"/>
                <w:szCs w:val="24"/>
              </w:rPr>
              <w:t>3）工程竣工资料的要求</w:t>
            </w:r>
          </w:p>
          <w:p w14:paraId="5BD58971">
            <w:pPr>
              <w:pStyle w:val="5"/>
              <w:ind w:firstLine="560"/>
              <w:jc w:val="left"/>
              <w:rPr>
                <w:sz w:val="24"/>
                <w:szCs w:val="24"/>
              </w:rPr>
            </w:pPr>
            <w:r>
              <w:rPr>
                <w:sz w:val="24"/>
                <w:szCs w:val="24"/>
              </w:rPr>
              <w:t>①成交供应商的工程档案资料必须符合有关规范要求，在工程施工过程中应及时收集、汇总、整理工程档案。</w:t>
            </w:r>
          </w:p>
          <w:p w14:paraId="79227BD0">
            <w:pPr>
              <w:pStyle w:val="5"/>
              <w:ind w:firstLine="560"/>
              <w:jc w:val="left"/>
              <w:rPr>
                <w:sz w:val="24"/>
                <w:szCs w:val="24"/>
              </w:rPr>
            </w:pPr>
            <w:r>
              <w:rPr>
                <w:sz w:val="24"/>
                <w:szCs w:val="24"/>
              </w:rPr>
              <w:t>②项目结算完成终审后</w:t>
            </w:r>
            <w:r>
              <w:rPr>
                <w:rFonts w:hint="eastAsia"/>
                <w:sz w:val="24"/>
                <w:szCs w:val="24"/>
                <w:lang w:val="en-US" w:eastAsia="zh-CN"/>
              </w:rPr>
              <w:t>15</w:t>
            </w:r>
            <w:r>
              <w:rPr>
                <w:sz w:val="24"/>
                <w:szCs w:val="24"/>
              </w:rPr>
              <w:t>天内，成交供应商应向采购人提交三份完整的工程技术档案资料，并配合采购人完成相关的手续。</w:t>
            </w:r>
          </w:p>
          <w:p w14:paraId="5DDFDFA8">
            <w:pPr>
              <w:pStyle w:val="5"/>
              <w:ind w:firstLine="560"/>
              <w:jc w:val="left"/>
              <w:rPr>
                <w:sz w:val="24"/>
                <w:szCs w:val="24"/>
              </w:rPr>
            </w:pPr>
            <w:r>
              <w:rPr>
                <w:sz w:val="24"/>
                <w:szCs w:val="24"/>
              </w:rPr>
              <w:t>③成交供应商如不在规定时间内按要求向采购人提供完整的工程档案资料，或提供的资料不符合要求的，每延误一天按每天伍佰元人民币罚款，并扣留剩余工程款和不予进行工程竣工财务结算，直至提交合格的档案资料为止。</w:t>
            </w:r>
          </w:p>
        </w:tc>
      </w:tr>
      <w:tr w14:paraId="1258F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1226BA">
            <w:pPr>
              <w:rPr>
                <w:sz w:val="24"/>
                <w:szCs w:val="24"/>
              </w:rPr>
            </w:pPr>
          </w:p>
        </w:tc>
        <w:tc>
          <w:tcPr>
            <w:tcW w:w="415" w:type="dxa"/>
          </w:tcPr>
          <w:p w14:paraId="77B5DA69">
            <w:pPr>
              <w:pStyle w:val="5"/>
              <w:rPr>
                <w:sz w:val="24"/>
                <w:szCs w:val="24"/>
              </w:rPr>
            </w:pPr>
            <w:r>
              <w:rPr>
                <w:sz w:val="24"/>
                <w:szCs w:val="24"/>
              </w:rPr>
              <w:t>5</w:t>
            </w:r>
          </w:p>
        </w:tc>
        <w:tc>
          <w:tcPr>
            <w:tcW w:w="5814" w:type="dxa"/>
          </w:tcPr>
          <w:p w14:paraId="2ABC337B">
            <w:pPr>
              <w:pStyle w:val="5"/>
              <w:ind w:firstLine="560"/>
              <w:jc w:val="left"/>
              <w:rPr>
                <w:sz w:val="24"/>
                <w:szCs w:val="24"/>
              </w:rPr>
            </w:pPr>
            <w:r>
              <w:rPr>
                <w:sz w:val="24"/>
                <w:szCs w:val="24"/>
              </w:rPr>
              <w:t>质量标准要求</w:t>
            </w:r>
          </w:p>
          <w:p w14:paraId="529E0F6A">
            <w:pPr>
              <w:pStyle w:val="5"/>
              <w:ind w:firstLine="560"/>
              <w:jc w:val="left"/>
              <w:rPr>
                <w:sz w:val="24"/>
                <w:szCs w:val="24"/>
              </w:rPr>
            </w:pPr>
            <w:r>
              <w:rPr>
                <w:sz w:val="24"/>
                <w:szCs w:val="24"/>
              </w:rPr>
              <w:t>①工程质量要求：合格工程。成交供应商必须严格按照施工图纸、说明文件、国家颁发的有关工程规范、规程和标准，规范进行施工，并接受采购人项目负责人的监督。</w:t>
            </w:r>
          </w:p>
          <w:p w14:paraId="379C3CE6">
            <w:pPr>
              <w:pStyle w:val="5"/>
              <w:ind w:firstLine="560"/>
              <w:jc w:val="left"/>
              <w:rPr>
                <w:sz w:val="24"/>
                <w:szCs w:val="24"/>
              </w:rPr>
            </w:pPr>
            <w:r>
              <w:rPr>
                <w:sz w:val="24"/>
                <w:szCs w:val="24"/>
              </w:rPr>
              <w:t>②工程质量不合格、不符合设计标准、达不到设计要求的，或施工程序不按施工规范的，采购人有权要求成交供应商停工和返工，因停工和返工造成的一切损失由成交供应商自行承担， 工期不予顺延。工程质量达不到投标时承诺的质量等级，成交供应商必须向采购人交纳违约金。</w:t>
            </w:r>
          </w:p>
          <w:p w14:paraId="51AC5439">
            <w:pPr>
              <w:pStyle w:val="5"/>
              <w:ind w:firstLine="560"/>
              <w:jc w:val="left"/>
              <w:rPr>
                <w:sz w:val="24"/>
                <w:szCs w:val="24"/>
              </w:rPr>
            </w:pPr>
            <w:r>
              <w:rPr>
                <w:sz w:val="24"/>
                <w:szCs w:val="24"/>
              </w:rPr>
              <w:t>③成交供应商在施工中如果存在工程质量不符合国家相关规范和磋商文件的有关规定的情况，采购人要求停工或返工时，成交供应商须无条件立即执行，并承担由此产生的各种费用，工期不予顺延。</w:t>
            </w:r>
          </w:p>
          <w:p w14:paraId="2690705E">
            <w:pPr>
              <w:pStyle w:val="5"/>
              <w:ind w:firstLine="560"/>
              <w:jc w:val="left"/>
              <w:rPr>
                <w:sz w:val="24"/>
                <w:szCs w:val="24"/>
              </w:rPr>
            </w:pPr>
            <w:r>
              <w:rPr>
                <w:sz w:val="24"/>
                <w:szCs w:val="24"/>
              </w:rPr>
              <w:t>④审批要求：成交供应商施工前向采购人申报施工方案，经审批后严格执行，每道工序需符合相应的规范要求并申报，经采购人现场代表签字确认后才进入下道工序。</w:t>
            </w:r>
          </w:p>
        </w:tc>
      </w:tr>
      <w:tr w14:paraId="17F61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DD63C4">
            <w:pPr>
              <w:rPr>
                <w:sz w:val="24"/>
                <w:szCs w:val="24"/>
              </w:rPr>
            </w:pPr>
          </w:p>
        </w:tc>
        <w:tc>
          <w:tcPr>
            <w:tcW w:w="415" w:type="dxa"/>
          </w:tcPr>
          <w:p w14:paraId="2A0E1D66">
            <w:pPr>
              <w:pStyle w:val="5"/>
              <w:rPr>
                <w:sz w:val="24"/>
                <w:szCs w:val="24"/>
              </w:rPr>
            </w:pPr>
            <w:r>
              <w:rPr>
                <w:sz w:val="24"/>
                <w:szCs w:val="24"/>
              </w:rPr>
              <w:t>6</w:t>
            </w:r>
          </w:p>
        </w:tc>
        <w:tc>
          <w:tcPr>
            <w:tcW w:w="5814" w:type="dxa"/>
          </w:tcPr>
          <w:p w14:paraId="3F6824A8">
            <w:pPr>
              <w:pStyle w:val="5"/>
              <w:ind w:firstLine="560"/>
              <w:jc w:val="left"/>
              <w:rPr>
                <w:sz w:val="24"/>
                <w:szCs w:val="24"/>
              </w:rPr>
            </w:pPr>
            <w:r>
              <w:rPr>
                <w:sz w:val="24"/>
                <w:szCs w:val="24"/>
              </w:rPr>
              <w:t>项目安全要求</w:t>
            </w:r>
          </w:p>
          <w:p w14:paraId="15EACB33">
            <w:pPr>
              <w:pStyle w:val="5"/>
              <w:ind w:firstLine="560"/>
              <w:jc w:val="left"/>
              <w:rPr>
                <w:sz w:val="24"/>
                <w:szCs w:val="24"/>
              </w:rPr>
            </w:pPr>
            <w:r>
              <w:rPr>
                <w:sz w:val="24"/>
                <w:szCs w:val="24"/>
              </w:rPr>
              <w:t>（1）根据《中华人民共和国安全生产法》，在施工期间应严格遵守国家、省、市有关防火、防爆、防触电、施工安全、人身安全和财产安全等规定，建立规章制度和防护措施。否则，由此造成的经济和法律责任均由成交供应商负责。</w:t>
            </w:r>
          </w:p>
          <w:p w14:paraId="29988A62">
            <w:pPr>
              <w:pStyle w:val="5"/>
              <w:ind w:firstLine="560"/>
              <w:jc w:val="left"/>
              <w:rPr>
                <w:sz w:val="24"/>
                <w:szCs w:val="24"/>
              </w:rPr>
            </w:pPr>
            <w:r>
              <w:rPr>
                <w:sz w:val="24"/>
                <w:szCs w:val="24"/>
              </w:rPr>
              <w:t>（2）施工现场的布置须符合防火、防爆、防触电等安全规定要求。临时用电严格按照《施工现场临时用电安全技术规范》的规定执行，电器产品的安装、使用和线路的敷设必须符合国家有关电气安全技术规定的要求，拆除私拉乱接的电气线路。电气设备和照明灯具有良好的接地、接零保护。</w:t>
            </w:r>
          </w:p>
          <w:p w14:paraId="30E4005F">
            <w:pPr>
              <w:pStyle w:val="5"/>
              <w:ind w:firstLine="560"/>
              <w:jc w:val="left"/>
              <w:rPr>
                <w:sz w:val="24"/>
                <w:szCs w:val="24"/>
              </w:rPr>
            </w:pPr>
            <w:r>
              <w:rPr>
                <w:sz w:val="24"/>
                <w:szCs w:val="24"/>
              </w:rPr>
              <w:t>（3）根据《易燃易爆化学物品消防安全监督管理办法》，施工现场的易燃、易爆化学物品随时清理，严禁在有火种的场所或其近旁堆放易燃、易爆化学物品。</w:t>
            </w:r>
          </w:p>
          <w:p w14:paraId="08E9A5D8">
            <w:pPr>
              <w:pStyle w:val="5"/>
              <w:ind w:firstLine="560"/>
              <w:jc w:val="left"/>
              <w:rPr>
                <w:sz w:val="24"/>
                <w:szCs w:val="24"/>
              </w:rPr>
            </w:pPr>
            <w:r>
              <w:rPr>
                <w:sz w:val="24"/>
                <w:szCs w:val="24"/>
              </w:rPr>
              <w:t>（4）在施工期间，施工方须定期组织防火安全检查工作，检查安全生产措施的落实情况，研究施工中存在的安全隐患，及时补充完善安全措施，防止和消除火险隐患。施工人员需熟悉防火要求，熟悉所配灭火器的使用方法，严格执行操作规程。</w:t>
            </w:r>
          </w:p>
          <w:p w14:paraId="7A81AA42">
            <w:pPr>
              <w:pStyle w:val="5"/>
              <w:ind w:firstLine="560"/>
              <w:jc w:val="left"/>
              <w:rPr>
                <w:sz w:val="24"/>
                <w:szCs w:val="24"/>
              </w:rPr>
            </w:pPr>
            <w:r>
              <w:rPr>
                <w:sz w:val="24"/>
                <w:szCs w:val="24"/>
              </w:rPr>
              <w:t>（5）禁止在施工现场抽烟、焚烧油毡、橡胶、塑料、易爆易燃物品、毒害物品、腐蚀物品、易燃液体、易燃固体、液化气钢罐、汽油桶、自燃物品和遇湿易燃物品等会产生明火、有毒、有害烟尘和恶臭气体的物质。</w:t>
            </w:r>
          </w:p>
          <w:p w14:paraId="792FF58C">
            <w:pPr>
              <w:pStyle w:val="5"/>
              <w:ind w:firstLine="560"/>
              <w:jc w:val="left"/>
              <w:rPr>
                <w:sz w:val="24"/>
                <w:szCs w:val="24"/>
              </w:rPr>
            </w:pPr>
            <w:r>
              <w:rPr>
                <w:sz w:val="24"/>
                <w:szCs w:val="24"/>
              </w:rPr>
              <w:t>（6）拟派到本项目的施工人员，必须掌握和认真执行《工程安全技术规程》的各项规定和熟悉安全技术操作规程。凡是不了解建筑安全规程的技术人员和未经过安全技术培训的工人，都不能参加施工。</w:t>
            </w:r>
          </w:p>
          <w:p w14:paraId="4BFFA2E8">
            <w:pPr>
              <w:pStyle w:val="5"/>
              <w:ind w:firstLine="560"/>
              <w:jc w:val="left"/>
              <w:rPr>
                <w:sz w:val="24"/>
                <w:szCs w:val="24"/>
              </w:rPr>
            </w:pPr>
            <w:r>
              <w:rPr>
                <w:sz w:val="24"/>
                <w:szCs w:val="24"/>
              </w:rPr>
              <w:t>（7）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工程事故发生。</w:t>
            </w:r>
          </w:p>
        </w:tc>
      </w:tr>
      <w:tr w14:paraId="0D58D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0B9435">
            <w:pPr>
              <w:pStyle w:val="5"/>
              <w:rPr>
                <w:sz w:val="24"/>
                <w:szCs w:val="24"/>
              </w:rPr>
            </w:pPr>
            <w:r>
              <w:rPr>
                <w:sz w:val="24"/>
                <w:szCs w:val="24"/>
              </w:rPr>
              <w:t>说明</w:t>
            </w:r>
          </w:p>
        </w:tc>
        <w:tc>
          <w:tcPr>
            <w:tcW w:w="6229" w:type="dxa"/>
            <w:gridSpan w:val="2"/>
          </w:tcPr>
          <w:p w14:paraId="08159125">
            <w:pPr>
              <w:pStyle w:val="5"/>
              <w:jc w:val="left"/>
              <w:rPr>
                <w:sz w:val="24"/>
                <w:szCs w:val="24"/>
              </w:rPr>
            </w:pPr>
            <w:r>
              <w:rPr>
                <w:sz w:val="24"/>
                <w:szCs w:val="24"/>
              </w:rPr>
              <w:t xml:space="preserve"> 打“★”号条款为实质性条款，若有任何一条负偏离或不满足则导致投标无效。 </w:t>
            </w:r>
            <w:r>
              <w:rPr>
                <w:sz w:val="24"/>
                <w:szCs w:val="24"/>
              </w:rPr>
              <w:br w:type="textWrapping"/>
            </w:r>
            <w:r>
              <w:rPr>
                <w:sz w:val="24"/>
                <w:szCs w:val="24"/>
              </w:rPr>
              <w:t>打“▲”号条款为重要技术参数，若有部分“▲”条款未响应或不满足，不作为无效投标条款。</w:t>
            </w:r>
          </w:p>
        </w:tc>
      </w:tr>
    </w:tbl>
    <w:p w14:paraId="7FBB64D4">
      <w:pPr>
        <w:pStyle w:val="5"/>
        <w:jc w:val="center"/>
        <w:outlineLvl w:val="1"/>
      </w:pPr>
      <w:r>
        <w:rPr>
          <w:b/>
          <w:sz w:val="36"/>
        </w:rPr>
        <w:t>第四章 评审</w:t>
      </w:r>
    </w:p>
    <w:p w14:paraId="40B57FFC">
      <w:pPr>
        <w:pStyle w:val="5"/>
        <w:outlineLvl w:val="2"/>
      </w:pPr>
      <w:r>
        <w:rPr>
          <w:b/>
          <w:sz w:val="28"/>
        </w:rPr>
        <w:t>一、评审要求</w:t>
      </w:r>
    </w:p>
    <w:p w14:paraId="4D53E933">
      <w:pPr>
        <w:pStyle w:val="5"/>
        <w:outlineLvl w:val="3"/>
      </w:pPr>
      <w:r>
        <w:rPr>
          <w:b/>
          <w:sz w:val="24"/>
        </w:rPr>
        <w:t>1.评审方法</w:t>
      </w:r>
    </w:p>
    <w:p w14:paraId="02878C33">
      <w:pPr>
        <w:pStyle w:val="5"/>
      </w:pPr>
      <w:r>
        <w:t>采购包1(</w:t>
      </w:r>
      <w:r>
        <w:rPr>
          <w:rFonts w:hint="eastAsia"/>
        </w:rPr>
        <w:t>惠州市实验中学食堂改造消防修缮工程</w:t>
      </w:r>
      <w:r>
        <w:t>项目)：综合评分法,是指响应文件满足磋商文件全部实质性要求，且按照评审因素的量化指标评审得分最高的投标人为成交候选人的评标方法。（最低报价不是成交的唯一依据。）</w:t>
      </w:r>
    </w:p>
    <w:p w14:paraId="73DA7344">
      <w:pPr>
        <w:pStyle w:val="5"/>
        <w:outlineLvl w:val="3"/>
      </w:pPr>
      <w:r>
        <w:rPr>
          <w:b/>
          <w:sz w:val="24"/>
        </w:rPr>
        <w:t>2.评审原则</w:t>
      </w:r>
    </w:p>
    <w:p w14:paraId="6DCF4535">
      <w:pPr>
        <w:pStyle w:val="5"/>
        <w:ind w:firstLine="480"/>
      </w:pPr>
      <w:r>
        <w:t>2.1评审活动遵循公平、公正、科学和择优的原则，以磋商文件和响应文件为评审的基本依据，并按照磋商文件规定的评审方法和评审标准进行评审。</w:t>
      </w:r>
    </w:p>
    <w:p w14:paraId="1E1F5C61">
      <w:pPr>
        <w:pStyle w:val="5"/>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5F41E67E">
      <w:pPr>
        <w:pStyle w:val="5"/>
        <w:outlineLvl w:val="3"/>
      </w:pPr>
      <w:r>
        <w:rPr>
          <w:b/>
          <w:sz w:val="24"/>
        </w:rPr>
        <w:t>3.磋商小组</w:t>
      </w:r>
    </w:p>
    <w:p w14:paraId="63242A24">
      <w:pPr>
        <w:pStyle w:val="5"/>
        <w:ind w:firstLine="480"/>
        <w:rPr>
          <w:rFonts w:hint="eastAsia"/>
        </w:rPr>
      </w:pPr>
      <w:r>
        <w:rPr>
          <w:rFonts w:hint="eastAsia"/>
          <w:lang w:val="en-US" w:eastAsia="zh-CN"/>
        </w:rPr>
        <w:t>3.1</w:t>
      </w:r>
      <w:r>
        <w:rPr>
          <w:rFonts w:hint="eastAsia"/>
        </w:rPr>
        <w:t>组长:分管后勤副校长</w:t>
      </w:r>
    </w:p>
    <w:p w14:paraId="13B2BB08">
      <w:pPr>
        <w:pStyle w:val="5"/>
        <w:ind w:firstLine="480"/>
        <w:rPr>
          <w:rFonts w:hint="eastAsia"/>
        </w:rPr>
      </w:pPr>
      <w:r>
        <w:rPr>
          <w:rFonts w:hint="eastAsia"/>
        </w:rPr>
        <w:t>常务副组长:其余副校长及副校级干部纪检负责人:纪检监督室负责人评标小组成员:各部门主任、副主任、具体工作负责人评标会人数须5人(含5人)以上，需求部门至少派2人参会评标(分管校领导、需求部门主任、需求部门副主任:</w:t>
      </w:r>
    </w:p>
    <w:p w14:paraId="5E1D8200">
      <w:pPr>
        <w:pStyle w:val="5"/>
        <w:ind w:firstLine="480"/>
      </w:pPr>
      <w:r>
        <w:rPr>
          <w:rFonts w:hint="eastAsia"/>
        </w:rPr>
        <w:t>具体工作负责人派2人参加)。评标小组评选涉及教职工利益的项目时校工会须派人参于评标。</w:t>
      </w:r>
    </w:p>
    <w:p w14:paraId="7F343C7A">
      <w:pPr>
        <w:pStyle w:val="5"/>
        <w:outlineLvl w:val="3"/>
      </w:pPr>
      <w:r>
        <w:rPr>
          <w:b/>
          <w:sz w:val="24"/>
        </w:rPr>
        <w:t>4.有下列情形之一的，视为供应商串通响应，其响应无效</w:t>
      </w:r>
    </w:p>
    <w:p w14:paraId="132CE666">
      <w:pPr>
        <w:pStyle w:val="5"/>
        <w:ind w:firstLine="480"/>
      </w:pPr>
      <w:r>
        <w:t>4.1不同供应商的响应文件由同一单位或者个人编制；</w:t>
      </w:r>
    </w:p>
    <w:p w14:paraId="7A454F0C">
      <w:pPr>
        <w:pStyle w:val="5"/>
        <w:ind w:firstLine="480"/>
      </w:pPr>
      <w:r>
        <w:t>4.2不同供应商委托同一单位或者个人办理响应事宜；</w:t>
      </w:r>
    </w:p>
    <w:p w14:paraId="372BC2B2">
      <w:pPr>
        <w:pStyle w:val="5"/>
        <w:ind w:firstLine="480"/>
      </w:pPr>
      <w:r>
        <w:t>4.3不同供应商的响应文件载明的项目管理成员或者联系人员为同一人；</w:t>
      </w:r>
    </w:p>
    <w:p w14:paraId="2552FF93">
      <w:pPr>
        <w:pStyle w:val="5"/>
        <w:ind w:firstLine="480"/>
      </w:pPr>
      <w:r>
        <w:t>4.4不同供应商的响应文件异常一致或者响应报价呈规律性差异；</w:t>
      </w:r>
    </w:p>
    <w:p w14:paraId="1F8A435B">
      <w:pPr>
        <w:pStyle w:val="5"/>
        <w:ind w:firstLine="480"/>
      </w:pPr>
      <w:r>
        <w:t>4.5不同供应商的响应文件相互混装；</w:t>
      </w:r>
    </w:p>
    <w:p w14:paraId="6C1B7AAC">
      <w:pPr>
        <w:pStyle w:val="5"/>
        <w:ind w:firstLine="480"/>
      </w:pPr>
      <w:r>
        <w:t>4.6不同供应商的响应保证金或购买电子保函支付款为从同一单位或个人的账户转出。</w:t>
      </w:r>
    </w:p>
    <w:p w14:paraId="4B170FED">
      <w:pPr>
        <w:pStyle w:val="5"/>
        <w:ind w:firstLine="480"/>
      </w:pPr>
      <w:r>
        <w:t>4.7供应商上传的电子响应文件加盖该项目的其他响应供应商的电子印章的。</w:t>
      </w:r>
    </w:p>
    <w:p w14:paraId="45364861">
      <w:pPr>
        <w:pStyle w:val="5"/>
        <w:ind w:firstLine="480"/>
      </w:pPr>
      <w:r>
        <w:t xml:space="preserve"> 说明：在评审过程中发现供应商有上述情形的，磋商小组应当认定其响应无效。同时，项目评审时被认定为串通响应的供应商不得参加该合同项下的采购活动。</w:t>
      </w:r>
    </w:p>
    <w:p w14:paraId="7B11206A">
      <w:pPr>
        <w:pStyle w:val="5"/>
        <w:outlineLvl w:val="3"/>
      </w:pPr>
      <w:r>
        <w:rPr>
          <w:b/>
          <w:sz w:val="24"/>
        </w:rPr>
        <w:t>5.有下列情形之一的，属于恶意串通响应：</w:t>
      </w:r>
    </w:p>
    <w:p w14:paraId="495C8EF9">
      <w:pPr>
        <w:pStyle w:val="5"/>
        <w:ind w:firstLine="480"/>
      </w:pPr>
      <w:r>
        <w:t>（1）供应商直接或者间接从采购人或者采购代理机构处获得其他供应商的相关情况并修改其响应文件；</w:t>
      </w:r>
    </w:p>
    <w:p w14:paraId="4F8A9AA7">
      <w:pPr>
        <w:pStyle w:val="5"/>
        <w:ind w:firstLine="480"/>
      </w:pPr>
      <w:r>
        <w:t>（2）供应商按照采购人或者采购代理机构的授意撤换、修改响应文件；</w:t>
      </w:r>
    </w:p>
    <w:p w14:paraId="6DCEBF29">
      <w:pPr>
        <w:pStyle w:val="5"/>
        <w:ind w:firstLine="480"/>
      </w:pPr>
      <w:r>
        <w:t>（3）供应商之间协商报价、技术方案等响应文件的实质性内容；</w:t>
      </w:r>
    </w:p>
    <w:p w14:paraId="0B59CCF1">
      <w:pPr>
        <w:pStyle w:val="5"/>
        <w:ind w:firstLine="480"/>
      </w:pPr>
      <w:r>
        <w:t>（4）属于同一集团、协会、商会等组织成员的供应商按照该组织要求协同参加政府采购活动；</w:t>
      </w:r>
    </w:p>
    <w:p w14:paraId="7AFD8DB0">
      <w:pPr>
        <w:pStyle w:val="5"/>
        <w:ind w:firstLine="480"/>
      </w:pPr>
      <w:r>
        <w:t>（5）供应商之间事先约定由某一特定供应商成交；</w:t>
      </w:r>
    </w:p>
    <w:p w14:paraId="717E8532">
      <w:pPr>
        <w:pStyle w:val="5"/>
        <w:ind w:firstLine="480"/>
      </w:pPr>
      <w:r>
        <w:t>（6）供应商之间商定部分供应商放弃参加政府采购活动或者放弃成交；</w:t>
      </w:r>
    </w:p>
    <w:p w14:paraId="48E05BBB">
      <w:pPr>
        <w:pStyle w:val="5"/>
        <w:ind w:firstLine="480"/>
      </w:pPr>
      <w:r>
        <w:t>（7）供应商与采购人或者采购代理机构之间、供应商相互之间，为谋求特定供应商成交或者排斥其他供应商的其他串通行为。</w:t>
      </w:r>
    </w:p>
    <w:p w14:paraId="6A2319D4">
      <w:pPr>
        <w:pStyle w:val="5"/>
        <w:outlineLvl w:val="3"/>
      </w:pPr>
      <w:r>
        <w:rPr>
          <w:b/>
          <w:sz w:val="24"/>
        </w:rPr>
        <w:t>6.其他响应无效的情形</w:t>
      </w:r>
    </w:p>
    <w:p w14:paraId="32C7CEBD">
      <w:pPr>
        <w:pStyle w:val="5"/>
        <w:ind w:firstLine="480"/>
      </w:pPr>
      <w:r>
        <w:t>详见资格性审查、符合性审查和磋商文件其他响应无效条款。</w:t>
      </w:r>
    </w:p>
    <w:p w14:paraId="2C3AAF0E">
      <w:pPr>
        <w:pStyle w:val="5"/>
        <w:outlineLvl w:val="3"/>
      </w:pPr>
      <w:r>
        <w:rPr>
          <w:b/>
          <w:sz w:val="24"/>
        </w:rPr>
        <w:t>7.终止竞争性磋商采购活动的情形</w:t>
      </w:r>
    </w:p>
    <w:p w14:paraId="7C0CD554">
      <w:pPr>
        <w:pStyle w:val="5"/>
        <w:ind w:firstLine="480"/>
      </w:pPr>
      <w:r>
        <w:t>出现下列情形之一的，采购人或者采购代理机构应当终止竞争性磋商采购活动，发布项目终止公告并说明原因，重新开展采购活动：</w:t>
      </w:r>
    </w:p>
    <w:p w14:paraId="3C6F6E75">
      <w:pPr>
        <w:pStyle w:val="5"/>
        <w:ind w:firstLine="480"/>
      </w:pPr>
      <w:r>
        <w:t>（1）因情况变化，不再符合规定的竞争性磋商采购方式适用情形的；</w:t>
      </w:r>
    </w:p>
    <w:p w14:paraId="1EA9A479">
      <w:pPr>
        <w:pStyle w:val="5"/>
        <w:ind w:firstLine="480"/>
      </w:pPr>
      <w:r>
        <w:t>（2）出现影响采购公正的违法、违规行为的；</w:t>
      </w:r>
    </w:p>
    <w:p w14:paraId="15F42919">
      <w:pPr>
        <w:pStyle w:val="5"/>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1262009A">
      <w:pPr>
        <w:pStyle w:val="5"/>
        <w:ind w:firstLine="480"/>
      </w:pPr>
      <w:r>
        <w:t>（4）法律、法规以及磋商文件规定其他情形。</w:t>
      </w:r>
    </w:p>
    <w:p w14:paraId="613B9E90">
      <w:pPr>
        <w:pStyle w:val="5"/>
        <w:outlineLvl w:val="3"/>
      </w:pPr>
      <w:r>
        <w:rPr>
          <w:b/>
          <w:sz w:val="24"/>
        </w:rPr>
        <w:t>8.确定成交供应商</w:t>
      </w:r>
    </w:p>
    <w:p w14:paraId="60BE85FF">
      <w:pPr>
        <w:pStyle w:val="5"/>
        <w:ind w:firstLine="480"/>
      </w:pPr>
      <w:r>
        <w:t>磋商小组按照磋商文件确定的评审方法、步骤、标准，对响应文件进行评审。评审结束后，对供应商的评审名次进行排序，确定成交供应商或者推荐成交候选供应商。</w:t>
      </w:r>
    </w:p>
    <w:p w14:paraId="7500A514">
      <w:pPr>
        <w:pStyle w:val="5"/>
        <w:outlineLvl w:val="3"/>
      </w:pPr>
      <w:r>
        <w:rPr>
          <w:b/>
          <w:sz w:val="24"/>
        </w:rPr>
        <w:t>9.价格修正</w:t>
      </w:r>
    </w:p>
    <w:p w14:paraId="39F6A2D4">
      <w:pPr>
        <w:pStyle w:val="5"/>
        <w:ind w:firstLine="480"/>
      </w:pPr>
      <w:r>
        <w:t>对报价的计算错误按以下原则修正：</w:t>
      </w:r>
    </w:p>
    <w:p w14:paraId="017C69F7">
      <w:pPr>
        <w:pStyle w:val="5"/>
        <w:ind w:firstLine="480"/>
      </w:pPr>
      <w:r>
        <w:t>（1）响应文件中首轮报价表（报价表）内容与响应文件中相应内容不一致的，以首轮报价表（报价表）为准；</w:t>
      </w:r>
    </w:p>
    <w:p w14:paraId="2EFA2A40">
      <w:pPr>
        <w:pStyle w:val="5"/>
        <w:ind w:firstLine="480"/>
      </w:pPr>
      <w:r>
        <w:t>（2）大写金额和小写金额不一致的，以大写金额为准；</w:t>
      </w:r>
    </w:p>
    <w:p w14:paraId="70B1EF80">
      <w:pPr>
        <w:pStyle w:val="5"/>
        <w:ind w:firstLine="480"/>
      </w:pPr>
      <w:r>
        <w:t>（3）单价金额小数点或者百分比有明显错位的，以首轮报价表的总价为准，并修改单价；</w:t>
      </w:r>
    </w:p>
    <w:p w14:paraId="7262CD8E">
      <w:pPr>
        <w:pStyle w:val="5"/>
        <w:ind w:firstLine="480"/>
      </w:pPr>
      <w:r>
        <w:t>（4）总价金额与按单价汇总金额不一致的，以单价金额计算结果为准。但是单价金额计算结果超过预算价的，对其按无效响应处理；</w:t>
      </w:r>
    </w:p>
    <w:p w14:paraId="10DE6FEB">
      <w:pPr>
        <w:pStyle w:val="5"/>
        <w:ind w:firstLine="480"/>
      </w:pPr>
      <w:r>
        <w:t>（5）若投标客户端上传的电子报价数据与电子响应文件价格不一致的，以电子报价数据为准。</w:t>
      </w:r>
    </w:p>
    <w:p w14:paraId="46B4A368">
      <w:pPr>
        <w:pStyle w:val="5"/>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14:paraId="6D01602C">
      <w:pPr>
        <w:pStyle w:val="5"/>
        <w:outlineLvl w:val="2"/>
      </w:pPr>
      <w:r>
        <w:rPr>
          <w:b/>
          <w:sz w:val="28"/>
        </w:rPr>
        <w:t>二.政府采购政策落实</w:t>
      </w:r>
    </w:p>
    <w:p w14:paraId="4A6257D4">
      <w:pPr>
        <w:pStyle w:val="5"/>
        <w:outlineLvl w:val="3"/>
      </w:pPr>
      <w:r>
        <w:rPr>
          <w:b/>
          <w:sz w:val="24"/>
        </w:rPr>
        <w:t>1.节能、环保要求</w:t>
      </w:r>
    </w:p>
    <w:p w14:paraId="025B371E">
      <w:pPr>
        <w:pStyle w:val="5"/>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6763422E">
      <w:pPr>
        <w:pStyle w:val="5"/>
        <w:ind w:firstLine="480"/>
      </w:pPr>
      <w:r>
        <w:t>相关认证机构和获证产品信息以市场监管总局组织建立的节能产品、环境标志产品认证结果信息发布平台公布为准。</w:t>
      </w:r>
    </w:p>
    <w:p w14:paraId="18885AB0">
      <w:pPr>
        <w:pStyle w:val="5"/>
        <w:outlineLvl w:val="3"/>
      </w:pPr>
      <w:r>
        <w:rPr>
          <w:b/>
          <w:sz w:val="24"/>
        </w:rPr>
        <w:t>2.对小型、微型企业、监狱企业或残疾人福利性单位给予价格扣除</w:t>
      </w:r>
    </w:p>
    <w:p w14:paraId="7D3DBA57">
      <w:pPr>
        <w:pStyle w:val="5"/>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2B6E3640">
      <w:pPr>
        <w:pStyle w:val="5"/>
        <w:outlineLvl w:val="3"/>
      </w:pPr>
      <w:r>
        <w:rPr>
          <w:b/>
          <w:sz w:val="24"/>
        </w:rPr>
        <w:t>3.价格扣除相关要求</w:t>
      </w:r>
    </w:p>
    <w:p w14:paraId="42B3DCC6">
      <w:pPr>
        <w:pStyle w:val="5"/>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0223A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tcPr>
          <w:p w14:paraId="0FB60081">
            <w:pPr>
              <w:pStyle w:val="5"/>
            </w:pPr>
            <w:r>
              <w:t>序号</w:t>
            </w:r>
          </w:p>
        </w:tc>
        <w:tc>
          <w:tcPr>
            <w:tcW w:w="2160" w:type="dxa"/>
          </w:tcPr>
          <w:p w14:paraId="320A6458">
            <w:pPr>
              <w:pStyle w:val="5"/>
            </w:pPr>
            <w:r>
              <w:t>情形</w:t>
            </w:r>
          </w:p>
        </w:tc>
        <w:tc>
          <w:tcPr>
            <w:tcW w:w="2160" w:type="dxa"/>
          </w:tcPr>
          <w:p w14:paraId="0C66BAA4">
            <w:pPr>
              <w:pStyle w:val="5"/>
            </w:pPr>
            <w:r>
              <w:t>适用对象</w:t>
            </w:r>
          </w:p>
        </w:tc>
        <w:tc>
          <w:tcPr>
            <w:tcW w:w="1246" w:type="dxa"/>
          </w:tcPr>
          <w:p w14:paraId="127C6434">
            <w:pPr>
              <w:pStyle w:val="5"/>
            </w:pPr>
            <w:r>
              <w:t>价格扣除比例</w:t>
            </w:r>
          </w:p>
        </w:tc>
        <w:tc>
          <w:tcPr>
            <w:tcW w:w="2160" w:type="dxa"/>
          </w:tcPr>
          <w:p w14:paraId="616CD580">
            <w:pPr>
              <w:pStyle w:val="5"/>
            </w:pPr>
            <w:r>
              <w:t>计算公式</w:t>
            </w:r>
          </w:p>
        </w:tc>
      </w:tr>
      <w:tr w14:paraId="19A6D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7A16EF53">
            <w:pPr>
              <w:pStyle w:val="5"/>
              <w:jc w:val="left"/>
            </w:pPr>
            <w:r>
              <w:t>注：（1）上述评标价仅用于计算价格分，成交金额以实际投标价为准。 （2）组成联合体的大中型企业和其他自然人、法人或者其他组织、与小型、微型企业之间不得存在投资关系。</w:t>
            </w:r>
          </w:p>
        </w:tc>
      </w:tr>
    </w:tbl>
    <w:p w14:paraId="0E6FBBE0">
      <w:pPr>
        <w:pStyle w:val="5"/>
      </w:pPr>
      <w:r>
        <w:br w:type="textWrapping"/>
      </w:r>
    </w:p>
    <w:p w14:paraId="3B7FD979">
      <w:pPr>
        <w:pStyle w:val="5"/>
        <w:ind w:firstLine="480"/>
      </w:pPr>
      <w:r>
        <w:t>（1）所称小型和微型企业应当符合以下条件：</w:t>
      </w:r>
    </w:p>
    <w:p w14:paraId="0F090EE4">
      <w:pPr>
        <w:pStyle w:val="5"/>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1CEACFD5">
      <w:pPr>
        <w:pStyle w:val="5"/>
        <w:ind w:firstLine="480"/>
      </w:pPr>
      <w:r>
        <w:t>符合中小企业划分标准的个体工商户，在政府采购活动中视同中小企业。</w:t>
      </w:r>
    </w:p>
    <w:p w14:paraId="04117AD6">
      <w:pPr>
        <w:pStyle w:val="5"/>
        <w:ind w:firstLine="480"/>
      </w:pPr>
      <w:r>
        <w:t>提供本企业（属于小微企业）制造的货物或者提供其他小型或微型企业制造的货物/提供本企业（属于小微企业）承接的服务。</w:t>
      </w:r>
    </w:p>
    <w:p w14:paraId="0CD167FB">
      <w:pPr>
        <w:pStyle w:val="5"/>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4110E550">
      <w:pPr>
        <w:pStyle w:val="5"/>
        <w:ind w:firstLine="480"/>
      </w:pPr>
      <w:r>
        <w:t>说明：供应商应当对其出具的《中小企业声明函》真实性负责，供应商出具的《中小企业声明函》内容不实的，属于提供虚假材料谋取成交。</w:t>
      </w:r>
    </w:p>
    <w:p w14:paraId="43A565DB">
      <w:pPr>
        <w:pStyle w:val="5"/>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0B47B89E">
      <w:pPr>
        <w:pStyle w:val="5"/>
        <w:outlineLvl w:val="2"/>
      </w:pPr>
      <w:r>
        <w:rPr>
          <w:b/>
          <w:sz w:val="28"/>
        </w:rPr>
        <w:t>三、评审程序</w:t>
      </w:r>
    </w:p>
    <w:p w14:paraId="634CB4EA">
      <w:pPr>
        <w:pStyle w:val="5"/>
        <w:outlineLvl w:val="3"/>
      </w:pPr>
      <w:r>
        <w:rPr>
          <w:b/>
          <w:sz w:val="24"/>
        </w:rPr>
        <w:t>1.资格性审查和符合性审查</w:t>
      </w:r>
    </w:p>
    <w:p w14:paraId="28FDE562">
      <w:pPr>
        <w:pStyle w:val="5"/>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1FC31C83">
      <w:pPr>
        <w:pStyle w:val="5"/>
        <w:ind w:firstLine="480"/>
      </w:pPr>
      <w:r>
        <w:t>磋商小组对各磋商供应商进行资格性和符合性审查过程中，对初步被认定为初审不合格或无效响应者应实行及时告知，由磋商小组组长或采购人代表将集体意见及时告知报价当事人。</w:t>
      </w:r>
    </w:p>
    <w:p w14:paraId="0E3F4B45">
      <w:pPr>
        <w:pStyle w:val="5"/>
        <w:ind w:firstLine="480"/>
      </w:pPr>
      <w:r>
        <w:t>表一资格性审查表：</w:t>
      </w:r>
    </w:p>
    <w:p w14:paraId="26328251">
      <w:pPr>
        <w:pStyle w:val="5"/>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A664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535730">
            <w:pPr>
              <w:pStyle w:val="5"/>
            </w:pPr>
            <w:r>
              <w:t xml:space="preserve"> 序号</w:t>
            </w:r>
          </w:p>
        </w:tc>
        <w:tc>
          <w:tcPr>
            <w:tcW w:w="7416" w:type="dxa"/>
            <w:gridSpan w:val="2"/>
          </w:tcPr>
          <w:p w14:paraId="3102620C">
            <w:pPr>
              <w:pStyle w:val="5"/>
            </w:pPr>
            <w:r>
              <w:t xml:space="preserve"> 资格审查内容</w:t>
            </w:r>
          </w:p>
        </w:tc>
      </w:tr>
      <w:tr w14:paraId="67C94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7052BBC">
            <w:pPr>
              <w:pStyle w:val="5"/>
            </w:pPr>
            <w:r>
              <w:t>1</w:t>
            </w:r>
          </w:p>
        </w:tc>
        <w:tc>
          <w:tcPr>
            <w:tcW w:w="3178" w:type="dxa"/>
          </w:tcPr>
          <w:p w14:paraId="5D4ADB79">
            <w:pPr>
              <w:pStyle w:val="5"/>
            </w:pPr>
            <w:r>
              <w:t>具有独立承担民事责任的能力</w:t>
            </w:r>
          </w:p>
        </w:tc>
        <w:tc>
          <w:tcPr>
            <w:tcW w:w="4238" w:type="dxa"/>
          </w:tcPr>
          <w:p w14:paraId="4CD51639">
            <w:pPr>
              <w:pStyle w:val="5"/>
            </w:pPr>
            <w:r>
              <w:t>在中华人民共和国境内注册的法人或其他组织或自然人， 投标（响应）时提交有效的营业执照（或事业法人登记证或身份证等相关证明）副本复印件。</w:t>
            </w:r>
          </w:p>
        </w:tc>
      </w:tr>
      <w:tr w14:paraId="23CC9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1281AA8">
            <w:pPr>
              <w:pStyle w:val="5"/>
            </w:pPr>
            <w:r>
              <w:t>2</w:t>
            </w:r>
          </w:p>
        </w:tc>
        <w:tc>
          <w:tcPr>
            <w:tcW w:w="3178" w:type="dxa"/>
          </w:tcPr>
          <w:p w14:paraId="096477F5">
            <w:pPr>
              <w:pStyle w:val="5"/>
            </w:pPr>
            <w:r>
              <w:t>有依法缴纳税收和社会保障资金的良好记录</w:t>
            </w:r>
          </w:p>
        </w:tc>
        <w:tc>
          <w:tcPr>
            <w:tcW w:w="4238" w:type="dxa"/>
          </w:tcPr>
          <w:p w14:paraId="7A0AB0EE">
            <w:pPr>
              <w:pStyle w:val="5"/>
            </w:pPr>
            <w:r>
              <w:t>提供投标截止日前6个月内任意1个月依法缴纳税收和社会保障资金的相关材料。如依法免税或不需要缴纳社会保障资金的，提供相应证明材料。</w:t>
            </w:r>
          </w:p>
        </w:tc>
      </w:tr>
      <w:tr w14:paraId="03E83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308B9D9">
            <w:pPr>
              <w:pStyle w:val="5"/>
            </w:pPr>
            <w:r>
              <w:t>3</w:t>
            </w:r>
          </w:p>
        </w:tc>
        <w:tc>
          <w:tcPr>
            <w:tcW w:w="3178" w:type="dxa"/>
          </w:tcPr>
          <w:p w14:paraId="1E071360">
            <w:pPr>
              <w:pStyle w:val="5"/>
            </w:pPr>
            <w:r>
              <w:t>具有良好的商业信誉和健全的财务会计制度</w:t>
            </w:r>
          </w:p>
        </w:tc>
        <w:tc>
          <w:tcPr>
            <w:tcW w:w="4238" w:type="dxa"/>
          </w:tcPr>
          <w:p w14:paraId="4E2595EB">
            <w:pPr>
              <w:pStyle w:val="5"/>
            </w:pPr>
            <w:r>
              <w:t>提供2024年度财务状况报告或提供提交响应文件截止时间前6个月内基本开户行出具的资信证明，如提供资信证明资料的，需同时提供基本存款账户信息打印页或基本账户开户许可证或提供《湛江市政府采购供应商资格信用承诺函》。</w:t>
            </w:r>
          </w:p>
        </w:tc>
      </w:tr>
      <w:tr w14:paraId="4C1C9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4EFD162">
            <w:pPr>
              <w:pStyle w:val="5"/>
            </w:pPr>
            <w:r>
              <w:t>4</w:t>
            </w:r>
          </w:p>
        </w:tc>
        <w:tc>
          <w:tcPr>
            <w:tcW w:w="3178" w:type="dxa"/>
          </w:tcPr>
          <w:p w14:paraId="11FF67CC">
            <w:pPr>
              <w:pStyle w:val="5"/>
            </w:pPr>
            <w:r>
              <w:t>履行合同所必需的设备和专业技术能力</w:t>
            </w:r>
          </w:p>
        </w:tc>
        <w:tc>
          <w:tcPr>
            <w:tcW w:w="4238" w:type="dxa"/>
          </w:tcPr>
          <w:p w14:paraId="370C090D">
            <w:pPr>
              <w:pStyle w:val="5"/>
            </w:pPr>
            <w:r>
              <w:t>履行合同所必需的设备和专业技术能力或提供承诺函（格式自拟）。</w:t>
            </w:r>
          </w:p>
        </w:tc>
      </w:tr>
      <w:tr w14:paraId="5CCC2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D8B793D">
            <w:pPr>
              <w:pStyle w:val="5"/>
            </w:pPr>
            <w:r>
              <w:t>5</w:t>
            </w:r>
          </w:p>
        </w:tc>
        <w:tc>
          <w:tcPr>
            <w:tcW w:w="3178" w:type="dxa"/>
          </w:tcPr>
          <w:p w14:paraId="1F55A9A5">
            <w:pPr>
              <w:pStyle w:val="5"/>
            </w:pPr>
            <w:r>
              <w:t>参加采购活动前3年内，在经营活动中没有重大违法记录</w:t>
            </w:r>
          </w:p>
        </w:tc>
        <w:tc>
          <w:tcPr>
            <w:tcW w:w="4238" w:type="dxa"/>
          </w:tcPr>
          <w:p w14:paraId="6D518592">
            <w:pPr>
              <w:pStyle w:val="5"/>
            </w:pPr>
            <w:r>
              <w:t>参照响应承诺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A729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09D3358">
            <w:pPr>
              <w:pStyle w:val="5"/>
            </w:pPr>
            <w:r>
              <w:t>6</w:t>
            </w:r>
          </w:p>
        </w:tc>
        <w:tc>
          <w:tcPr>
            <w:tcW w:w="3178" w:type="dxa"/>
          </w:tcPr>
          <w:p w14:paraId="27F4D6E1">
            <w:pPr>
              <w:pStyle w:val="5"/>
            </w:pPr>
            <w:r>
              <w:t>信用记录</w:t>
            </w:r>
          </w:p>
        </w:tc>
        <w:tc>
          <w:tcPr>
            <w:tcW w:w="4238" w:type="dxa"/>
          </w:tcPr>
          <w:p w14:paraId="3949CE2C">
            <w:pPr>
              <w:pStyle w:val="5"/>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0FA9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74A47D9">
            <w:pPr>
              <w:pStyle w:val="5"/>
            </w:pPr>
            <w:r>
              <w:t>7</w:t>
            </w:r>
          </w:p>
        </w:tc>
        <w:tc>
          <w:tcPr>
            <w:tcW w:w="3178" w:type="dxa"/>
          </w:tcPr>
          <w:p w14:paraId="454A1B92">
            <w:pPr>
              <w:pStyle w:val="5"/>
            </w:pPr>
            <w:r>
              <w:t>供应商必须符合法律、行政法规规定的其他条件</w:t>
            </w:r>
          </w:p>
        </w:tc>
        <w:tc>
          <w:tcPr>
            <w:tcW w:w="4238" w:type="dxa"/>
          </w:tcPr>
          <w:p w14:paraId="22A2ED31">
            <w:pPr>
              <w:pStyle w:val="5"/>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14:paraId="05D70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2" w:hRule="atLeast"/>
        </w:trPr>
        <w:tc>
          <w:tcPr>
            <w:tcW w:w="890" w:type="dxa"/>
          </w:tcPr>
          <w:p w14:paraId="74B70591">
            <w:pPr>
              <w:pStyle w:val="5"/>
            </w:pPr>
            <w:r>
              <w:t>8</w:t>
            </w:r>
          </w:p>
        </w:tc>
        <w:tc>
          <w:tcPr>
            <w:tcW w:w="3178" w:type="dxa"/>
          </w:tcPr>
          <w:p w14:paraId="4D55012A">
            <w:pPr>
              <w:pStyle w:val="5"/>
            </w:pPr>
            <w:r>
              <w:t>特定资格要求</w:t>
            </w:r>
          </w:p>
        </w:tc>
        <w:tc>
          <w:tcPr>
            <w:tcW w:w="4238" w:type="dxa"/>
          </w:tcPr>
          <w:p w14:paraId="7BFF7FAF">
            <w:pPr>
              <w:pStyle w:val="5"/>
            </w:pPr>
            <w:r>
              <w:t>供应商必须具备有效的建筑工程施工总承包叁级以上(含叁级)资质；</w:t>
            </w:r>
          </w:p>
        </w:tc>
      </w:tr>
      <w:tr w14:paraId="271FE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5C860D5">
            <w:pPr>
              <w:pStyle w:val="5"/>
            </w:pPr>
            <w:r>
              <w:t>9</w:t>
            </w:r>
          </w:p>
        </w:tc>
        <w:tc>
          <w:tcPr>
            <w:tcW w:w="3178" w:type="dxa"/>
          </w:tcPr>
          <w:p w14:paraId="6F91A226">
            <w:pPr>
              <w:pStyle w:val="5"/>
            </w:pPr>
            <w:r>
              <w:t>特定资格要求</w:t>
            </w:r>
          </w:p>
        </w:tc>
        <w:tc>
          <w:tcPr>
            <w:tcW w:w="4238" w:type="dxa"/>
          </w:tcPr>
          <w:p w14:paraId="3659CC12">
            <w:pPr>
              <w:pStyle w:val="5"/>
            </w:pPr>
            <w:r>
              <w:t>供应商必须具备有效的企业安全生产许可证；</w:t>
            </w:r>
          </w:p>
        </w:tc>
      </w:tr>
      <w:tr w14:paraId="1F01E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47BC492">
            <w:pPr>
              <w:pStyle w:val="5"/>
            </w:pPr>
            <w:r>
              <w:t>10</w:t>
            </w:r>
          </w:p>
        </w:tc>
        <w:tc>
          <w:tcPr>
            <w:tcW w:w="3178" w:type="dxa"/>
          </w:tcPr>
          <w:p w14:paraId="1C8C573A">
            <w:pPr>
              <w:pStyle w:val="5"/>
            </w:pPr>
            <w:r>
              <w:t>特定资格要求</w:t>
            </w:r>
          </w:p>
        </w:tc>
        <w:tc>
          <w:tcPr>
            <w:tcW w:w="4238" w:type="dxa"/>
          </w:tcPr>
          <w:p w14:paraId="3AB3D2C7">
            <w:pPr>
              <w:pStyle w:val="5"/>
            </w:pPr>
            <w:r>
              <w:t>拟派项目负责人必须具有建筑工程专业二级以上（含二级）注册建造师资格，具备有效的安全生产考核合格证（B证）；</w:t>
            </w:r>
          </w:p>
        </w:tc>
      </w:tr>
      <w:tr w14:paraId="689C8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C6E5A24">
            <w:pPr>
              <w:pStyle w:val="5"/>
            </w:pPr>
            <w:r>
              <w:t>11</w:t>
            </w:r>
          </w:p>
        </w:tc>
        <w:tc>
          <w:tcPr>
            <w:tcW w:w="3178" w:type="dxa"/>
          </w:tcPr>
          <w:p w14:paraId="3E03F423">
            <w:pPr>
              <w:pStyle w:val="5"/>
            </w:pPr>
            <w:r>
              <w:t>特定资格要求</w:t>
            </w:r>
          </w:p>
        </w:tc>
        <w:tc>
          <w:tcPr>
            <w:tcW w:w="4238" w:type="dxa"/>
          </w:tcPr>
          <w:p w14:paraId="529BA8BD">
            <w:pPr>
              <w:pStyle w:val="5"/>
            </w:pPr>
            <w:r>
              <w:t>不接受联合体投标。</w:t>
            </w:r>
          </w:p>
        </w:tc>
      </w:tr>
      <w:tr w14:paraId="43E7F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9EF352E">
            <w:pPr>
              <w:pStyle w:val="5"/>
            </w:pPr>
            <w:r>
              <w:t>12</w:t>
            </w:r>
          </w:p>
        </w:tc>
        <w:tc>
          <w:tcPr>
            <w:tcW w:w="3178" w:type="dxa"/>
          </w:tcPr>
          <w:p w14:paraId="6430E947">
            <w:pPr>
              <w:pStyle w:val="5"/>
            </w:pPr>
            <w:r>
              <w:t>本采购包专门面向中小企业采购</w:t>
            </w:r>
          </w:p>
        </w:tc>
        <w:tc>
          <w:tcPr>
            <w:tcW w:w="4238" w:type="dxa"/>
          </w:tcPr>
          <w:p w14:paraId="1BD5200C">
            <w:pPr>
              <w:pStyle w:val="5"/>
            </w:pPr>
            <w:r>
              <w:t>参与的供应商（联合体）工程的施工单位全部为符合政策要求的中小企业</w:t>
            </w:r>
          </w:p>
        </w:tc>
      </w:tr>
    </w:tbl>
    <w:p w14:paraId="34CD07A4">
      <w:pPr>
        <w:pStyle w:val="5"/>
        <w:ind w:firstLine="480"/>
      </w:pPr>
      <w:r>
        <w:t>表二符合性审查表：</w:t>
      </w:r>
    </w:p>
    <w:p w14:paraId="6D5327CF">
      <w:pPr>
        <w:pStyle w:val="5"/>
      </w:pPr>
      <w:bookmarkStart w:id="0" w:name="_GoBack"/>
      <w:r>
        <w:t>采购包1：</w:t>
      </w:r>
    </w:p>
    <w:bookmarkEnd w:id="0"/>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446C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B28242E">
            <w:pPr>
              <w:pStyle w:val="5"/>
            </w:pPr>
            <w:r>
              <w:t xml:space="preserve"> 序号</w:t>
            </w:r>
          </w:p>
        </w:tc>
        <w:tc>
          <w:tcPr>
            <w:tcW w:w="3178" w:type="dxa"/>
          </w:tcPr>
          <w:p w14:paraId="7F649F2D">
            <w:pPr>
              <w:pStyle w:val="5"/>
            </w:pPr>
            <w:r>
              <w:t xml:space="preserve"> 评审点要求概况</w:t>
            </w:r>
          </w:p>
        </w:tc>
        <w:tc>
          <w:tcPr>
            <w:tcW w:w="4238" w:type="dxa"/>
          </w:tcPr>
          <w:p w14:paraId="7B84C802">
            <w:pPr>
              <w:pStyle w:val="5"/>
            </w:pPr>
            <w:r>
              <w:t xml:space="preserve"> 评审点具体描述</w:t>
            </w:r>
          </w:p>
        </w:tc>
      </w:tr>
      <w:tr w14:paraId="21A17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BD6CF1B">
            <w:pPr>
              <w:pStyle w:val="5"/>
            </w:pPr>
            <w:r>
              <w:t>1</w:t>
            </w:r>
          </w:p>
        </w:tc>
        <w:tc>
          <w:tcPr>
            <w:tcW w:w="3178" w:type="dxa"/>
          </w:tcPr>
          <w:p w14:paraId="06135419">
            <w:pPr>
              <w:pStyle w:val="5"/>
            </w:pPr>
            <w:r>
              <w:t>符合性审查</w:t>
            </w:r>
          </w:p>
        </w:tc>
        <w:tc>
          <w:tcPr>
            <w:tcW w:w="4238" w:type="dxa"/>
          </w:tcPr>
          <w:p w14:paraId="5891C4FF">
            <w:pPr>
              <w:pStyle w:val="5"/>
            </w:pPr>
            <w:r>
              <w:t>1、响应承诺函已提交并符合磋商文件要求的。 2、磋商有效期符合磋商文件要求的。 3、按照磋商文件规定要求签署、盖章且响应文件有法定代表人签字或盖章，或签字人有法定代表人有效授权书的。 4、响应报价是固定价且是唯一的，且符合磋商文件要求。 5、按有关法律、法规、规章或磋商文件不属于投标（响应）无效的。</w:t>
            </w:r>
          </w:p>
        </w:tc>
      </w:tr>
    </w:tbl>
    <w:p w14:paraId="636EBB0E">
      <w:pPr>
        <w:pStyle w:val="5"/>
        <w:outlineLvl w:val="3"/>
      </w:pPr>
      <w:r>
        <w:rPr>
          <w:b/>
          <w:sz w:val="24"/>
        </w:rPr>
        <w:t>2.响应文件澄清</w:t>
      </w:r>
    </w:p>
    <w:p w14:paraId="4311D61B">
      <w:pPr>
        <w:pStyle w:val="5"/>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14:paraId="653B4EA6">
      <w:pPr>
        <w:pStyle w:val="5"/>
        <w:ind w:firstLine="480"/>
      </w:pPr>
      <w:r>
        <w:t>供应商需登录广东政府采购智慧云平台项目采购系统的等候大厅，在规定时间内完成澄清（响应），并加盖电子印章。</w:t>
      </w:r>
    </w:p>
    <w:p w14:paraId="4AE12F57">
      <w:pPr>
        <w:pStyle w:val="5"/>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14:paraId="612E7F23">
      <w:pPr>
        <w:pStyle w:val="5"/>
        <w:ind w:firstLine="480"/>
      </w:pPr>
      <w:r>
        <w:t>2.2磋商小组不接受供应商主动提出的澄清、说明或补正。</w:t>
      </w:r>
    </w:p>
    <w:p w14:paraId="0FC39F95">
      <w:pPr>
        <w:pStyle w:val="5"/>
        <w:ind w:firstLine="480"/>
      </w:pPr>
      <w:r>
        <w:t>2.3磋商小组对供应商提交的澄清、说明或补正有疑问的，可以要求供应商进一步澄清、说明或补正。</w:t>
      </w:r>
    </w:p>
    <w:p w14:paraId="183D456F">
      <w:pPr>
        <w:pStyle w:val="5"/>
        <w:outlineLvl w:val="3"/>
      </w:pPr>
      <w:r>
        <w:rPr>
          <w:b/>
          <w:sz w:val="24"/>
        </w:rPr>
        <w:t>3.磋商</w:t>
      </w:r>
    </w:p>
    <w:p w14:paraId="701B40C1">
      <w:pPr>
        <w:pStyle w:val="5"/>
        <w:ind w:firstLine="480"/>
      </w:pPr>
      <w:r>
        <w:t>3.1磋商小组所有成员应当集中与单一供应商分别进行磋商，并给予所有参加磋商的供应商平等的磋商机会。</w:t>
      </w:r>
    </w:p>
    <w:p w14:paraId="0D9D0F3E">
      <w:pPr>
        <w:pStyle w:val="5"/>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14:paraId="0FD0A3E7">
      <w:pPr>
        <w:pStyle w:val="5"/>
        <w:ind w:firstLine="480"/>
      </w:pPr>
      <w:r>
        <w:t>3.3对磋商文件作出的实质性变动是磋商文件的有效组成部分，磋商小组应当及时、同时通知所有参加磋商的供应商。</w:t>
      </w:r>
    </w:p>
    <w:p w14:paraId="25B5EF00">
      <w:pPr>
        <w:pStyle w:val="5"/>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09F3EFDD">
      <w:pPr>
        <w:pStyle w:val="5"/>
        <w:outlineLvl w:val="3"/>
      </w:pPr>
      <w:r>
        <w:rPr>
          <w:b/>
          <w:sz w:val="24"/>
        </w:rPr>
        <w:t>4.最后报价</w:t>
      </w:r>
    </w:p>
    <w:p w14:paraId="42ACDCD9">
      <w:pPr>
        <w:pStyle w:val="5"/>
        <w:ind w:firstLine="480"/>
      </w:pPr>
      <w:r>
        <w:t>4.1磋商结束后，磋商小组应当要求所有实质性响应的供应商在规定时间内提交最后报价。最后报价是供应商响应文件的有效组成部分。</w:t>
      </w:r>
    </w:p>
    <w:p w14:paraId="700B2F5F">
      <w:pPr>
        <w:pStyle w:val="5"/>
        <w:ind w:firstLine="480"/>
      </w:pPr>
      <w:r>
        <w:t>4.2已提交响应文件的供应商，在提交最后报价之前，可以根据磋商情况退出磋商。</w:t>
      </w:r>
    </w:p>
    <w:p w14:paraId="169E112E">
      <w:pPr>
        <w:pStyle w:val="5"/>
        <w:ind w:firstLine="480"/>
      </w:pPr>
      <w:r>
        <w:t>4.3除法规规定的特殊性情形外，提交最后报价的供应商不得少于3家。</w:t>
      </w:r>
    </w:p>
    <w:p w14:paraId="0B6BA76F">
      <w:pPr>
        <w:pStyle w:val="5"/>
        <w:outlineLvl w:val="3"/>
      </w:pPr>
      <w:r>
        <w:rPr>
          <w:b/>
          <w:sz w:val="24"/>
        </w:rPr>
        <w:t>5.详细评审</w:t>
      </w:r>
    </w:p>
    <w:p w14:paraId="550E3C94">
      <w:pPr>
        <w:pStyle w:val="5"/>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19063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1F5F105">
            <w:pPr>
              <w:pStyle w:val="5"/>
              <w:jc w:val="center"/>
            </w:pPr>
            <w:r>
              <w:t>评审因素</w:t>
            </w:r>
          </w:p>
        </w:tc>
        <w:tc>
          <w:tcPr>
            <w:tcW w:w="7383" w:type="dxa"/>
            <w:gridSpan w:val="2"/>
          </w:tcPr>
          <w:p w14:paraId="207DA030">
            <w:pPr>
              <w:pStyle w:val="5"/>
              <w:jc w:val="center"/>
            </w:pPr>
            <w:r>
              <w:t>评审标准</w:t>
            </w:r>
          </w:p>
        </w:tc>
      </w:tr>
      <w:tr w14:paraId="253D5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BDBC67B">
            <w:pPr>
              <w:pStyle w:val="5"/>
              <w:jc w:val="center"/>
            </w:pPr>
            <w:r>
              <w:t>分值构成</w:t>
            </w:r>
          </w:p>
        </w:tc>
        <w:tc>
          <w:tcPr>
            <w:tcW w:w="7383" w:type="dxa"/>
            <w:gridSpan w:val="2"/>
          </w:tcPr>
          <w:p w14:paraId="0DFE945C">
            <w:pPr>
              <w:pStyle w:val="5"/>
            </w:pPr>
            <w:r>
              <w:t>商务部分40.0分</w:t>
            </w:r>
          </w:p>
          <w:p w14:paraId="62B9FFE7">
            <w:pPr>
              <w:pStyle w:val="5"/>
            </w:pPr>
            <w:r>
              <w:t>技术部分50.0分</w:t>
            </w:r>
          </w:p>
          <w:p w14:paraId="4CDA6CE7">
            <w:pPr>
              <w:pStyle w:val="5"/>
            </w:pPr>
            <w:r>
              <w:t>报价得分10.0分</w:t>
            </w:r>
          </w:p>
        </w:tc>
      </w:tr>
      <w:tr w14:paraId="58D0C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684477F">
            <w:pPr>
              <w:pStyle w:val="5"/>
              <w:jc w:val="center"/>
            </w:pPr>
            <w:r>
              <w:t>技术部分</w:t>
            </w:r>
          </w:p>
        </w:tc>
        <w:tc>
          <w:tcPr>
            <w:tcW w:w="2307" w:type="dxa"/>
          </w:tcPr>
          <w:p w14:paraId="2A446D00">
            <w:pPr>
              <w:pStyle w:val="5"/>
              <w:jc w:val="left"/>
            </w:pPr>
            <w:r>
              <w:t>施工组织方案 (10.0分)</w:t>
            </w:r>
          </w:p>
        </w:tc>
        <w:tc>
          <w:tcPr>
            <w:tcW w:w="5076" w:type="dxa"/>
          </w:tcPr>
          <w:p w14:paraId="05CC83C8">
            <w:pPr>
              <w:pStyle w:val="5"/>
              <w:jc w:val="left"/>
            </w:pPr>
            <w:r>
              <w:t>根据供应商对工程提出的施工组织及关键技术方案进行评审：（包括但不限于工程关键节点及重难点分析、施工步骤、工作方案思路、技术方案等内容）包含以上内容每项得1分，最高得4分。 ①方案完全满足并优于采购需求得6分； ②方案完全满足采购需求得4分； ③方案满足但方案描述简单不够全面详细的得2分； ④方案不完全满足采购需求得1分； ⑤未提供方案不得分。</w:t>
            </w:r>
          </w:p>
        </w:tc>
      </w:tr>
      <w:tr w14:paraId="2E2D8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9D7CE90"/>
        </w:tc>
        <w:tc>
          <w:tcPr>
            <w:tcW w:w="2307" w:type="dxa"/>
          </w:tcPr>
          <w:p w14:paraId="4F292073">
            <w:pPr>
              <w:pStyle w:val="5"/>
              <w:jc w:val="left"/>
            </w:pPr>
            <w:r>
              <w:t>施工进度计划和各阶段进度的保证措施 (10.0分)</w:t>
            </w:r>
          </w:p>
        </w:tc>
        <w:tc>
          <w:tcPr>
            <w:tcW w:w="5076" w:type="dxa"/>
          </w:tcPr>
          <w:p w14:paraId="5183821F">
            <w:pPr>
              <w:pStyle w:val="5"/>
              <w:jc w:val="left"/>
            </w:pPr>
            <w:r>
              <w:t>根据投标人的施工进度计划和各阶段进度的保证措施进行评审（包括但不限于：施工进度计划、劳动力安排、施工管理组织架构、机械设备投入计划等内容）包含以上内容每项得1分，最高得4分。 ①方案完全满足并优于采购需求得6分； ②方案完全满足采购需求得4分； ③方案满足但方案描述简单不够全面详细的得2分； ④方案不完全满足采购需求得1分； ⑤未提供方案不得分。</w:t>
            </w:r>
          </w:p>
        </w:tc>
      </w:tr>
      <w:tr w14:paraId="09D49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97D772F"/>
        </w:tc>
        <w:tc>
          <w:tcPr>
            <w:tcW w:w="2307" w:type="dxa"/>
          </w:tcPr>
          <w:p w14:paraId="35CD58B2">
            <w:pPr>
              <w:pStyle w:val="5"/>
              <w:jc w:val="left"/>
            </w:pPr>
            <w:r>
              <w:t>安全、文明施工、环保措施 (10.0分)</w:t>
            </w:r>
          </w:p>
        </w:tc>
        <w:tc>
          <w:tcPr>
            <w:tcW w:w="5076" w:type="dxa"/>
          </w:tcPr>
          <w:p w14:paraId="10869E30">
            <w:pPr>
              <w:pStyle w:val="5"/>
              <w:jc w:val="left"/>
            </w:pPr>
            <w:r>
              <w:t>根据投标人针对本项目拟定的安全、文明施工、环保措施进行评审（包括但不限于：安全生产管理机构设置、安全培训措施、全作业措施、安全隐患排查措施、安全配套措施）包含以上内容每项得1分，最高得5分。 ①方案完全满足并优于采购需求得5分； ②方案完全满足采购需求得4分； ③方案满足但方案描述简单不够全面详细的得3分； ④方案不完全满足采购需求得1分； ⑤未提供方案不得分。</w:t>
            </w:r>
          </w:p>
        </w:tc>
      </w:tr>
      <w:tr w14:paraId="0723F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0209B15"/>
        </w:tc>
        <w:tc>
          <w:tcPr>
            <w:tcW w:w="2307" w:type="dxa"/>
          </w:tcPr>
          <w:p w14:paraId="43CF0288">
            <w:pPr>
              <w:pStyle w:val="5"/>
              <w:jc w:val="left"/>
            </w:pPr>
            <w:r>
              <w:t>施工质量保证措施 (10.0分)</w:t>
            </w:r>
          </w:p>
        </w:tc>
        <w:tc>
          <w:tcPr>
            <w:tcW w:w="5076" w:type="dxa"/>
          </w:tcPr>
          <w:p w14:paraId="34B1FDFC">
            <w:pPr>
              <w:pStyle w:val="5"/>
              <w:jc w:val="left"/>
            </w:pPr>
            <w:r>
              <w:t>根据投标人针对本项目拟定的施工质量保证措施进行评审（包括但不限于：质量目标、质量检查机构设置及措施、质量控制流程及措施、质量投诉处理措施）包含以上内容每项得1分，最高得4分。 ①方案完全满足并优于采购需求得6分； ②方案完全满足采购需求得4分； ③方案满足但方案描述简单不够全面详细的得2分； ④方案不完全满足采购需求得1分； ⑤未提供方案不得分。</w:t>
            </w:r>
          </w:p>
        </w:tc>
      </w:tr>
      <w:tr w14:paraId="14798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1E1AF84"/>
        </w:tc>
        <w:tc>
          <w:tcPr>
            <w:tcW w:w="2307" w:type="dxa"/>
          </w:tcPr>
          <w:p w14:paraId="04F6F4C4">
            <w:pPr>
              <w:pStyle w:val="5"/>
              <w:jc w:val="left"/>
            </w:pPr>
            <w:r>
              <w:t>施工应急方案 (10.0分)</w:t>
            </w:r>
          </w:p>
        </w:tc>
        <w:tc>
          <w:tcPr>
            <w:tcW w:w="5076" w:type="dxa"/>
          </w:tcPr>
          <w:p w14:paraId="0DBC8733">
            <w:pPr>
              <w:pStyle w:val="5"/>
              <w:jc w:val="left"/>
            </w:pPr>
            <w:r>
              <w:t>根据供应商针对本项目提供的施工应急方案进行评审（包括但不限于：安全应急预案、救援预案、应急维修安排方案等）包含以上内容每项得1分，最高得3分。 ①方案完全满足并优于采购需求得7分； ②方案完全满足采购需求得5分； ③方案满足但方案描述简单不够全面详细的得3分； ④方案不完全满足采购需求得1分； ⑤未提供方案不得分。</w:t>
            </w:r>
          </w:p>
        </w:tc>
      </w:tr>
      <w:tr w14:paraId="650FF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E1E5AE9">
            <w:pPr>
              <w:pStyle w:val="5"/>
              <w:jc w:val="center"/>
            </w:pPr>
            <w:r>
              <w:t>商务部分</w:t>
            </w:r>
          </w:p>
        </w:tc>
        <w:tc>
          <w:tcPr>
            <w:tcW w:w="2307" w:type="dxa"/>
          </w:tcPr>
          <w:p w14:paraId="7D775032">
            <w:pPr>
              <w:pStyle w:val="5"/>
              <w:jc w:val="left"/>
            </w:pPr>
            <w:r>
              <w:t>业绩 (20.0分)</w:t>
            </w:r>
          </w:p>
        </w:tc>
        <w:tc>
          <w:tcPr>
            <w:tcW w:w="5076" w:type="dxa"/>
          </w:tcPr>
          <w:p w14:paraId="3A53790C">
            <w:pPr>
              <w:pStyle w:val="5"/>
              <w:jc w:val="left"/>
            </w:pPr>
            <w:r>
              <w:t>2020年1月1日（以施工合同签订时间为准）至投标截止之日，投标人承接并完成过类似工程业绩，每提供一个业绩得4分，本项最高可得20分。 注：投标人须提供施工合同复印件并加盖投标单位公章，不提供或提供不齐全的不得分。</w:t>
            </w:r>
          </w:p>
        </w:tc>
      </w:tr>
      <w:tr w14:paraId="32A26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65F642F">
            <w:pPr>
              <w:pStyle w:val="5"/>
              <w:jc w:val="center"/>
            </w:pPr>
          </w:p>
        </w:tc>
        <w:tc>
          <w:tcPr>
            <w:tcW w:w="2307" w:type="dxa"/>
          </w:tcPr>
          <w:p w14:paraId="60EEFF47">
            <w:pPr>
              <w:pStyle w:val="5"/>
              <w:jc w:val="left"/>
            </w:pPr>
            <w:r>
              <w:t>项目技术负责人 (</w:t>
            </w:r>
            <w:r>
              <w:rPr>
                <w:rFonts w:hint="eastAsia"/>
                <w:lang w:val="en-US" w:eastAsia="zh-CN"/>
              </w:rPr>
              <w:t>5</w:t>
            </w:r>
            <w:r>
              <w:t>分)</w:t>
            </w:r>
          </w:p>
        </w:tc>
        <w:tc>
          <w:tcPr>
            <w:tcW w:w="5076" w:type="dxa"/>
          </w:tcPr>
          <w:p w14:paraId="01773706">
            <w:pPr>
              <w:pStyle w:val="5"/>
              <w:jc w:val="left"/>
            </w:pPr>
            <w:r>
              <w:t>拟委派项目技术负责人</w:t>
            </w:r>
            <w:r>
              <w:rPr>
                <w:rFonts w:hint="default"/>
                <w:lang w:val="en-US" w:eastAsia="en-US"/>
              </w:rPr>
              <w:t>具有建筑工程专业注册建造师贰级以上（含贰级）注册建造师执业资格，且具备有效的安全生产考核合格证书（B类），</w:t>
            </w:r>
            <w:r>
              <w:t>得</w:t>
            </w:r>
            <w:r>
              <w:rPr>
                <w:rFonts w:hint="eastAsia"/>
                <w:lang w:val="en-US" w:eastAsia="zh-CN"/>
              </w:rPr>
              <w:t>5</w:t>
            </w:r>
            <w:r>
              <w:t>分。</w:t>
            </w:r>
          </w:p>
          <w:p w14:paraId="2C607451">
            <w:pPr>
              <w:pStyle w:val="5"/>
              <w:jc w:val="left"/>
            </w:pPr>
            <w:r>
              <w:t xml:space="preserve"> 注:需提供上述人员的相关证书、身份证。</w:t>
            </w:r>
          </w:p>
          <w:p w14:paraId="5EAD9760">
            <w:pPr>
              <w:pStyle w:val="5"/>
              <w:jc w:val="left"/>
            </w:pPr>
            <w:r>
              <w:t>须提供上述人员证书复印件及递交截止之日前3个月内任意一个月的社保缴纳证明文件复印件。</w:t>
            </w:r>
          </w:p>
        </w:tc>
      </w:tr>
      <w:tr w14:paraId="1E8FE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FBA1011">
            <w:pPr>
              <w:pStyle w:val="5"/>
              <w:jc w:val="center"/>
            </w:pPr>
          </w:p>
        </w:tc>
        <w:tc>
          <w:tcPr>
            <w:tcW w:w="2307" w:type="dxa"/>
            <w:vAlign w:val="top"/>
          </w:tcPr>
          <w:p w14:paraId="7469CD84">
            <w:pPr>
              <w:pStyle w:val="5"/>
              <w:jc w:val="left"/>
            </w:pPr>
            <w:r>
              <w:t>人员配置 (</w:t>
            </w:r>
            <w:r>
              <w:rPr>
                <w:rFonts w:hint="eastAsia"/>
                <w:lang w:val="en-US" w:eastAsia="zh-CN"/>
              </w:rPr>
              <w:t>10</w:t>
            </w:r>
            <w:r>
              <w:t>分)</w:t>
            </w:r>
          </w:p>
        </w:tc>
        <w:tc>
          <w:tcPr>
            <w:tcW w:w="5076" w:type="dxa"/>
            <w:vAlign w:val="top"/>
          </w:tcPr>
          <w:p w14:paraId="4CA2A872">
            <w:pPr>
              <w:pStyle w:val="5"/>
              <w:jc w:val="left"/>
            </w:pPr>
            <w:r>
              <w:t>拟投入本项目人员具备：施工员、安全员、资料员、质量员的， 每人得</w:t>
            </w:r>
            <w:r>
              <w:rPr>
                <w:rFonts w:hint="eastAsia"/>
                <w:lang w:val="en-US" w:eastAsia="zh-CN"/>
              </w:rPr>
              <w:t>2.5</w:t>
            </w:r>
            <w:r>
              <w:t>分，最多得</w:t>
            </w:r>
            <w:r>
              <w:rPr>
                <w:rFonts w:hint="eastAsia"/>
                <w:lang w:val="en-US" w:eastAsia="zh-CN"/>
              </w:rPr>
              <w:t>10</w:t>
            </w:r>
            <w:r>
              <w:t xml:space="preserve">分。 </w:t>
            </w:r>
          </w:p>
          <w:p w14:paraId="3294F9A0">
            <w:pPr>
              <w:pStyle w:val="5"/>
              <w:jc w:val="left"/>
            </w:pPr>
            <w:r>
              <w:t>须提供上述人员证书复印件及递交截止之日前3个月内任意一个月的社保缴纳证明文件复印件。提供的证明材料不清晰无法判定的或未按要求提供证明材料的不得分。</w:t>
            </w:r>
          </w:p>
        </w:tc>
      </w:tr>
      <w:tr w14:paraId="7987C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4CDA45D">
            <w:pPr>
              <w:pStyle w:val="5"/>
              <w:jc w:val="center"/>
            </w:pPr>
          </w:p>
        </w:tc>
        <w:tc>
          <w:tcPr>
            <w:tcW w:w="2307" w:type="dxa"/>
            <w:vAlign w:val="top"/>
          </w:tcPr>
          <w:p w14:paraId="14BF826B">
            <w:pPr>
              <w:pStyle w:val="5"/>
              <w:jc w:val="left"/>
            </w:pPr>
            <w:r>
              <w:t>保修期服务便利性 (</w:t>
            </w:r>
            <w:r>
              <w:rPr>
                <w:rFonts w:hint="eastAsia"/>
                <w:lang w:val="en-US" w:eastAsia="zh-CN"/>
              </w:rPr>
              <w:t>5</w:t>
            </w:r>
            <w:r>
              <w:t>分)</w:t>
            </w:r>
          </w:p>
        </w:tc>
        <w:tc>
          <w:tcPr>
            <w:tcW w:w="5076" w:type="dxa"/>
            <w:vAlign w:val="top"/>
          </w:tcPr>
          <w:p w14:paraId="6DBACE25">
            <w:pPr>
              <w:pStyle w:val="5"/>
              <w:jc w:val="left"/>
            </w:pPr>
            <w:r>
              <w:t>供应商承诺的保修期服务响应时间： 1、1小时内响应，在12小时内（不 含）到场并解决问题的，得</w:t>
            </w:r>
            <w:r>
              <w:rPr>
                <w:rFonts w:hint="eastAsia"/>
                <w:lang w:val="en-US" w:eastAsia="zh-CN"/>
              </w:rPr>
              <w:t>5</w:t>
            </w:r>
            <w:r>
              <w:t>分；2、2小时内响应，在24小时内（不 含）到场并解决问题的，得</w:t>
            </w:r>
            <w:r>
              <w:rPr>
                <w:rFonts w:hint="eastAsia"/>
                <w:lang w:val="en-US" w:eastAsia="zh-CN"/>
              </w:rPr>
              <w:t>4</w:t>
            </w:r>
            <w:r>
              <w:t>分； 3、4小时内响应，在36小时内（不含） 到场并解决问题的，得</w:t>
            </w:r>
            <w:r>
              <w:rPr>
                <w:rFonts w:hint="eastAsia"/>
                <w:lang w:val="en-US" w:eastAsia="zh-CN"/>
              </w:rPr>
              <w:t>3</w:t>
            </w:r>
            <w:r>
              <w:t>分； 4、8小时内响应，在72小时内（不含）到场 并解决问题的，得</w:t>
            </w:r>
            <w:r>
              <w:rPr>
                <w:rFonts w:hint="eastAsia"/>
                <w:lang w:val="en-US" w:eastAsia="zh-CN"/>
              </w:rPr>
              <w:t>2</w:t>
            </w:r>
            <w:r>
              <w:t>分。 注：提供承诺或声明，格式自拟。不提供不得分 。</w:t>
            </w:r>
          </w:p>
        </w:tc>
      </w:tr>
      <w:tr w14:paraId="6EE07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51ABED5">
            <w:pPr>
              <w:pStyle w:val="5"/>
              <w:jc w:val="center"/>
            </w:pPr>
            <w:r>
              <w:t>投标报价</w:t>
            </w:r>
          </w:p>
        </w:tc>
        <w:tc>
          <w:tcPr>
            <w:tcW w:w="2307" w:type="dxa"/>
          </w:tcPr>
          <w:p w14:paraId="3D2FAB9A">
            <w:pPr>
              <w:pStyle w:val="5"/>
              <w:jc w:val="left"/>
            </w:pPr>
            <w:r>
              <w:t>投标报价得分 (10.0分)</w:t>
            </w:r>
          </w:p>
        </w:tc>
        <w:tc>
          <w:tcPr>
            <w:tcW w:w="5076" w:type="dxa"/>
          </w:tcPr>
          <w:p w14:paraId="42197929">
            <w:pPr>
              <w:pStyle w:val="5"/>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BA8CD9A">
      <w:pPr>
        <w:pStyle w:val="5"/>
        <w:outlineLvl w:val="3"/>
      </w:pPr>
      <w:r>
        <w:rPr>
          <w:b/>
          <w:sz w:val="24"/>
        </w:rPr>
        <w:t>6.汇总、排序</w:t>
      </w:r>
    </w:p>
    <w:p w14:paraId="02230338">
      <w:pPr>
        <w:pStyle w:val="5"/>
      </w:pPr>
      <w:r>
        <w:t>采购包1：</w:t>
      </w:r>
    </w:p>
    <w:p w14:paraId="45C9AD28">
      <w:pPr>
        <w:pStyle w:val="5"/>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14:paraId="45072267">
      <w:pPr>
        <w:pStyle w:val="5"/>
        <w:outlineLvl w:val="3"/>
      </w:pPr>
      <w:r>
        <w:rPr>
          <w:b/>
          <w:sz w:val="24"/>
        </w:rPr>
        <w:t>7.其他无效响应的情形：</w:t>
      </w:r>
    </w:p>
    <w:p w14:paraId="6012D61B">
      <w:pPr>
        <w:pStyle w:val="5"/>
        <w:ind w:firstLine="480"/>
      </w:pPr>
      <w:r>
        <w:t>（1）评审期间，供应商没有按磋商小组的要求提交法定代表人或其委托代理人签字的澄清、说明、补正或改变了响应文件的实质性内容的。</w:t>
      </w:r>
    </w:p>
    <w:p w14:paraId="5372784B">
      <w:pPr>
        <w:pStyle w:val="5"/>
        <w:ind w:firstLine="480"/>
      </w:pPr>
      <w:r>
        <w:t>（2）响应文件提供虚假材料的。</w:t>
      </w:r>
    </w:p>
    <w:p w14:paraId="23A7491F">
      <w:pPr>
        <w:pStyle w:val="5"/>
        <w:ind w:firstLine="480"/>
      </w:pPr>
      <w:r>
        <w:t>（3）供应商以他人名义响应、串通响应、以行贿手段谋取成交或者以其他弄虚作假方式响应的。</w:t>
      </w:r>
    </w:p>
    <w:p w14:paraId="1AC0FDA8">
      <w:pPr>
        <w:pStyle w:val="5"/>
        <w:ind w:firstLine="480"/>
      </w:pPr>
      <w:r>
        <w:t>（4）供应商对采购人、采购代理机构、磋商小组及其工作人员施加影响，有碍招标公平、公正的。</w:t>
      </w:r>
    </w:p>
    <w:p w14:paraId="35E1B5B2">
      <w:pPr>
        <w:pStyle w:val="5"/>
        <w:ind w:firstLine="480"/>
      </w:pPr>
      <w:r>
        <w:t>（5）响应文件含有采购人不能接受的附加条件的。</w:t>
      </w:r>
    </w:p>
    <w:p w14:paraId="6E9E0162">
      <w:pPr>
        <w:pStyle w:val="5"/>
        <w:ind w:firstLine="480"/>
      </w:pPr>
      <w:r>
        <w:t>（6）法律、法规和磋商文件规定的其他无效情形。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EA885"/>
    <w:multiLevelType w:val="singleLevel"/>
    <w:tmpl w:val="087EA8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B2D9C"/>
    <w:rsid w:val="09D32FFB"/>
    <w:rsid w:val="0B3B62C1"/>
    <w:rsid w:val="16FE409F"/>
    <w:rsid w:val="1C4265DF"/>
    <w:rsid w:val="38DB2D9C"/>
    <w:rsid w:val="3C7D4CEC"/>
    <w:rsid w:val="3D5A39C0"/>
    <w:rsid w:val="3F3F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customStyle="1" w:styleId="6">
    <w:name w:val="正文文本1"/>
    <w:basedOn w:val="1"/>
    <w:qFormat/>
    <w:uiPriority w:val="0"/>
    <w:pPr>
      <w:shd w:val="clear" w:color="auto" w:fill="FFFFFF"/>
      <w:spacing w:line="312" w:lineRule="auto"/>
      <w:ind w:firstLine="400"/>
    </w:pPr>
    <w:rPr>
      <w:rFonts w:ascii="MingLiU" w:hAnsi="MingLiU" w:eastAsia="MingLiU" w:cs="MingLiU"/>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2694</Words>
  <Characters>2732</Characters>
  <Lines>0</Lines>
  <Paragraphs>0</Paragraphs>
  <TotalTime>11</TotalTime>
  <ScaleCrop>false</ScaleCrop>
  <LinksUpToDate>false</LinksUpToDate>
  <CharactersWithSpaces>2755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2025-10-13T07:05:00Z</dcterms:created>
  <dc:creator>WPS_1736996053</dc:creator>
  <cp:lastModifiedBy>高俊</cp:lastModifiedBy>
  <cp:lastPrinted>2025-11-04T00:46:00Z</cp:lastPrinted>
  <dcterms:modified xsi:type="dcterms:W3CDTF">2025-12-15T12:41:54Z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3623CB8758554CD398B44DEE79552C1E_13</vt:lpwstr>
  </property>
  <property fmtid="{D5CDD505-2E9C-101B-9397-08002B2CF9AE}" pid="4" name="KSOTemplateDocerSaveRecord">
    <vt:lpwstr>eyJoZGlkIjoiMDc5ZmUxM2M4YTkzMjRhMjI1N2ZlYWNiMGM2ZmUwOWQiLCJ1c2VySWQiOiI0ODM2MjAzNDMifQ==</vt:lpwstr>
  </property>
</Properties>
</file>